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5"/>
        <w:spacing w:before="0" w:after="0" w:line="480" w:lineRule="auto"/>
        <w:ind w:firstLine="0" w:firstLineChars="0"/>
        <w:rPr>
          <w:rFonts w:ascii="仿宋" w:hAnsi="仿宋" w:eastAsia="仿宋" w:cs="仿宋"/>
        </w:rPr>
      </w:pPr>
      <w:bookmarkStart w:id="0" w:name="_Hlk55387407"/>
      <w:bookmarkEnd w:id="0"/>
    </w:p>
    <w:p>
      <w:pPr>
        <w:pStyle w:val="148"/>
        <w:ind w:firstLine="360"/>
        <w:jc w:val="center"/>
      </w:pPr>
      <w:r>
        <w:drawing>
          <wp:inline distT="0" distB="0" distL="114300" distR="114300">
            <wp:extent cx="4994275" cy="7038975"/>
            <wp:effectExtent l="0" t="0" r="15875" b="952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5"/>
                    <a:stretch>
                      <a:fillRect/>
                    </a:stretch>
                  </pic:blipFill>
                  <pic:spPr>
                    <a:xfrm>
                      <a:off x="0" y="0"/>
                      <a:ext cx="4994275" cy="7038975"/>
                    </a:xfrm>
                    <a:prstGeom prst="rect">
                      <a:avLst/>
                    </a:prstGeom>
                    <a:noFill/>
                    <a:ln>
                      <a:noFill/>
                    </a:ln>
                  </pic:spPr>
                </pic:pic>
              </a:graphicData>
            </a:graphic>
          </wp:inline>
        </w:drawing>
      </w:r>
    </w:p>
    <w:p/>
    <w:p>
      <w:pPr>
        <w:pStyle w:val="2"/>
        <w:rPr>
          <w:rFonts w:hint="eastAsia" w:eastAsia="宋体"/>
          <w:lang w:eastAsia="zh-CN"/>
        </w:rPr>
      </w:pPr>
      <w:r>
        <w:rPr>
          <w:rFonts w:hint="eastAsia" w:eastAsia="宋体"/>
          <w:lang w:eastAsia="zh-CN"/>
        </w:rPr>
        <w:drawing>
          <wp:inline distT="0" distB="0" distL="114300" distR="114300">
            <wp:extent cx="5267960" cy="7450455"/>
            <wp:effectExtent l="0" t="0" r="8890" b="17145"/>
            <wp:docPr id="15" name="图片 15" descr="项目基本情况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项目基本情况_00"/>
                    <pic:cNvPicPr>
                      <a:picLocks noChangeAspect="1"/>
                    </pic:cNvPicPr>
                  </pic:nvPicPr>
                  <pic:blipFill>
                    <a:blip r:embed="rId16"/>
                    <a:stretch>
                      <a:fillRect/>
                    </a:stretch>
                  </pic:blipFill>
                  <pic:spPr>
                    <a:xfrm>
                      <a:off x="0" y="0"/>
                      <a:ext cx="5267960" cy="7450455"/>
                    </a:xfrm>
                    <a:prstGeom prst="rect">
                      <a:avLst/>
                    </a:prstGeom>
                  </pic:spPr>
                </pic:pic>
              </a:graphicData>
            </a:graphic>
          </wp:inline>
        </w:drawing>
      </w:r>
    </w:p>
    <w:p>
      <w:pPr>
        <w:rPr>
          <w:rFonts w:hint="eastAsia" w:eastAsia="宋体"/>
          <w:lang w:eastAsia="zh-CN"/>
        </w:rPr>
      </w:pPr>
    </w:p>
    <w:p>
      <w:pPr>
        <w:pStyle w:val="2"/>
        <w:rPr>
          <w:rFonts w:hint="eastAsia"/>
          <w:lang w:eastAsia="zh-CN"/>
        </w:rPr>
      </w:pPr>
      <w:r>
        <w:rPr>
          <w:rFonts w:hint="eastAsia"/>
          <w:lang w:eastAsia="zh-CN"/>
        </w:rPr>
        <w:drawing>
          <wp:inline distT="0" distB="0" distL="114300" distR="114300">
            <wp:extent cx="5267960" cy="7450455"/>
            <wp:effectExtent l="0" t="0" r="8890" b="17145"/>
            <wp:docPr id="25" name="图片 25" descr="需求申报信息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需求申报信息_00"/>
                    <pic:cNvPicPr>
                      <a:picLocks noChangeAspect="1"/>
                    </pic:cNvPicPr>
                  </pic:nvPicPr>
                  <pic:blipFill>
                    <a:blip r:embed="rId17"/>
                    <a:stretch>
                      <a:fillRect/>
                    </a:stretch>
                  </pic:blipFill>
                  <pic:spPr>
                    <a:xfrm>
                      <a:off x="0" y="0"/>
                      <a:ext cx="5267960" cy="7450455"/>
                    </a:xfrm>
                    <a:prstGeom prst="rect">
                      <a:avLst/>
                    </a:prstGeom>
                  </pic:spPr>
                </pic:pic>
              </a:graphicData>
            </a:graphic>
          </wp:inline>
        </w:drawing>
      </w:r>
    </w:p>
    <w:p>
      <w:pPr>
        <w:rPr>
          <w:rFonts w:hint="eastAsia"/>
          <w:lang w:eastAsia="zh-CN"/>
        </w:rPr>
      </w:pPr>
    </w:p>
    <w:p>
      <w:pPr>
        <w:pStyle w:val="2"/>
        <w:rPr>
          <w:rFonts w:hint="eastAsia"/>
          <w:lang w:eastAsia="zh-CN"/>
        </w:rPr>
      </w:pPr>
      <w:r>
        <w:rPr>
          <w:rFonts w:hint="eastAsia"/>
          <w:lang w:eastAsia="zh-CN"/>
        </w:rPr>
        <w:drawing>
          <wp:inline distT="0" distB="0" distL="114300" distR="114300">
            <wp:extent cx="5267960" cy="7450455"/>
            <wp:effectExtent l="0" t="0" r="8890" b="17145"/>
            <wp:docPr id="26" name="图片 26" descr="项目详细信息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项目详细信息表_00"/>
                    <pic:cNvPicPr>
                      <a:picLocks noChangeAspect="1"/>
                    </pic:cNvPicPr>
                  </pic:nvPicPr>
                  <pic:blipFill>
                    <a:blip r:embed="rId18"/>
                    <a:stretch>
                      <a:fillRect/>
                    </a:stretch>
                  </pic:blipFill>
                  <pic:spPr>
                    <a:xfrm>
                      <a:off x="0" y="0"/>
                      <a:ext cx="5267960" cy="7450455"/>
                    </a:xfrm>
                    <a:prstGeom prst="rect">
                      <a:avLst/>
                    </a:prstGeom>
                  </pic:spPr>
                </pic:pic>
              </a:graphicData>
            </a:graphic>
          </wp:inline>
        </w:drawing>
      </w:r>
    </w:p>
    <w:p>
      <w:pPr>
        <w:rPr>
          <w:rFonts w:hint="eastAsia"/>
          <w:lang w:eastAsia="zh-CN"/>
        </w:rPr>
      </w:pPr>
    </w:p>
    <w:p>
      <w:pPr>
        <w:pStyle w:val="2"/>
        <w:rPr>
          <w:rFonts w:hint="eastAsia"/>
          <w:lang w:eastAsia="zh-CN"/>
        </w:rPr>
      </w:pPr>
      <w:r>
        <w:rPr>
          <w:rFonts w:hint="eastAsia"/>
          <w:lang w:eastAsia="zh-CN"/>
        </w:rPr>
        <w:drawing>
          <wp:inline distT="0" distB="0" distL="114300" distR="114300">
            <wp:extent cx="5267960" cy="7450455"/>
            <wp:effectExtent l="0" t="0" r="8890" b="17145"/>
            <wp:docPr id="27" name="图片 27" descr="收支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收支表_00"/>
                    <pic:cNvPicPr>
                      <a:picLocks noChangeAspect="1"/>
                    </pic:cNvPicPr>
                  </pic:nvPicPr>
                  <pic:blipFill>
                    <a:blip r:embed="rId19"/>
                    <a:stretch>
                      <a:fillRect/>
                    </a:stretch>
                  </pic:blipFill>
                  <pic:spPr>
                    <a:xfrm>
                      <a:off x="0" y="0"/>
                      <a:ext cx="5267960" cy="7450455"/>
                    </a:xfrm>
                    <a:prstGeom prst="rect">
                      <a:avLst/>
                    </a:prstGeom>
                  </pic:spPr>
                </pic:pic>
              </a:graphicData>
            </a:graphic>
          </wp:inline>
        </w:drawing>
      </w:r>
    </w:p>
    <w:p>
      <w:pPr>
        <w:rPr>
          <w:rFonts w:hint="eastAsia"/>
          <w:lang w:eastAsia="zh-CN"/>
        </w:rPr>
      </w:pPr>
      <w:r>
        <w:drawing>
          <wp:inline distT="0" distB="0" distL="114300" distR="114300">
            <wp:extent cx="7086600" cy="478155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0"/>
                    <a:stretch>
                      <a:fillRect/>
                    </a:stretch>
                  </pic:blipFill>
                  <pic:spPr>
                    <a:xfrm rot="16200000">
                      <a:off x="0" y="0"/>
                      <a:ext cx="7086600" cy="4781550"/>
                    </a:xfrm>
                    <a:prstGeom prst="rect">
                      <a:avLst/>
                    </a:prstGeom>
                    <a:noFill/>
                    <a:ln>
                      <a:noFill/>
                    </a:ln>
                  </pic:spPr>
                </pic:pic>
              </a:graphicData>
            </a:graphic>
          </wp:inline>
        </w:drawing>
      </w:r>
    </w:p>
    <w:p>
      <w:pPr>
        <w:pStyle w:val="2"/>
        <w:rPr>
          <w:rFonts w:hint="eastAsia"/>
          <w:lang w:eastAsia="zh-CN"/>
        </w:rPr>
      </w:pPr>
    </w:p>
    <w:p>
      <w:r>
        <w:drawing>
          <wp:inline distT="0" distB="0" distL="114300" distR="114300">
            <wp:extent cx="7239000" cy="4772025"/>
            <wp:effectExtent l="0" t="0" r="9525" b="0"/>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21"/>
                    <a:stretch>
                      <a:fillRect/>
                    </a:stretch>
                  </pic:blipFill>
                  <pic:spPr>
                    <a:xfrm rot="16200000">
                      <a:off x="0" y="0"/>
                      <a:ext cx="7239000" cy="4772025"/>
                    </a:xfrm>
                    <a:prstGeom prst="rect">
                      <a:avLst/>
                    </a:prstGeom>
                    <a:noFill/>
                    <a:ln>
                      <a:noFill/>
                    </a:ln>
                  </pic:spPr>
                </pic:pic>
              </a:graphicData>
            </a:graphic>
          </wp:inline>
        </w:drawing>
      </w:r>
    </w:p>
    <w:p>
      <w:pPr>
        <w:pStyle w:val="2"/>
      </w:pPr>
    </w:p>
    <w:p>
      <w:r>
        <w:drawing>
          <wp:inline distT="0" distB="0" distL="114300" distR="114300">
            <wp:extent cx="7124700" cy="4829175"/>
            <wp:effectExtent l="0" t="0" r="9525" b="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2"/>
                    <a:stretch>
                      <a:fillRect/>
                    </a:stretch>
                  </pic:blipFill>
                  <pic:spPr>
                    <a:xfrm rot="16200000">
                      <a:off x="0" y="0"/>
                      <a:ext cx="7124700" cy="4829175"/>
                    </a:xfrm>
                    <a:prstGeom prst="rect">
                      <a:avLst/>
                    </a:prstGeom>
                    <a:noFill/>
                    <a:ln>
                      <a:noFill/>
                    </a:ln>
                  </pic:spPr>
                </pic:pic>
              </a:graphicData>
            </a:graphic>
          </wp:inline>
        </w:drawing>
      </w:r>
    </w:p>
    <w:p>
      <w:pPr>
        <w:pStyle w:val="2"/>
      </w:pPr>
    </w:p>
    <w:p>
      <w:r>
        <w:drawing>
          <wp:inline distT="0" distB="0" distL="114300" distR="114300">
            <wp:extent cx="7172325" cy="4648200"/>
            <wp:effectExtent l="0" t="0" r="0" b="952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23"/>
                    <a:stretch>
                      <a:fillRect/>
                    </a:stretch>
                  </pic:blipFill>
                  <pic:spPr>
                    <a:xfrm rot="16200000">
                      <a:off x="0" y="0"/>
                      <a:ext cx="7172325" cy="4648200"/>
                    </a:xfrm>
                    <a:prstGeom prst="rect">
                      <a:avLst/>
                    </a:prstGeom>
                    <a:noFill/>
                    <a:ln>
                      <a:noFill/>
                    </a:ln>
                  </pic:spPr>
                </pic:pic>
              </a:graphicData>
            </a:graphic>
          </wp:inline>
        </w:drawing>
      </w:r>
    </w:p>
    <w:p>
      <w:pPr>
        <w:pStyle w:val="2"/>
      </w:pPr>
    </w:p>
    <w:p>
      <w:pPr>
        <w:rPr>
          <w:rFonts w:hint="eastAsia"/>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992" w:footer="992" w:gutter="0"/>
          <w:pgNumType w:start="1"/>
          <w:cols w:space="425" w:num="1"/>
          <w:docGrid w:type="lines" w:linePitch="326" w:charSpace="0"/>
        </w:sectPr>
      </w:pPr>
      <w:r>
        <w:drawing>
          <wp:inline distT="0" distB="0" distL="114300" distR="114300">
            <wp:extent cx="7343775" cy="4933950"/>
            <wp:effectExtent l="0" t="0" r="0" b="952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24"/>
                    <a:stretch>
                      <a:fillRect/>
                    </a:stretch>
                  </pic:blipFill>
                  <pic:spPr>
                    <a:xfrm rot="16200000">
                      <a:off x="0" y="0"/>
                      <a:ext cx="7343775" cy="4933950"/>
                    </a:xfrm>
                    <a:prstGeom prst="rect">
                      <a:avLst/>
                    </a:prstGeom>
                    <a:noFill/>
                    <a:ln>
                      <a:noFill/>
                    </a:ln>
                  </pic:spPr>
                </pic:pic>
              </a:graphicData>
            </a:graphic>
          </wp:inline>
        </w:drawing>
      </w:r>
    </w:p>
    <w:sdt>
      <w:sdtPr>
        <w:rPr>
          <w:rFonts w:ascii="仿宋" w:hAnsi="仿宋" w:eastAsia="仿宋" w:cs="Times New Roman"/>
          <w:color w:val="auto"/>
          <w:kern w:val="2"/>
          <w:sz w:val="24"/>
          <w:szCs w:val="24"/>
          <w:lang w:val="zh-CN"/>
        </w:rPr>
        <w:id w:val="1178463695"/>
        <w:docPartObj>
          <w:docPartGallery w:val="Table of Contents"/>
          <w:docPartUnique/>
        </w:docPartObj>
      </w:sdtPr>
      <w:sdtEndPr>
        <w:rPr>
          <w:rFonts w:ascii="仿宋" w:hAnsi="仿宋" w:eastAsia="仿宋" w:cs="Times New Roman"/>
          <w:b/>
          <w:bCs/>
          <w:color w:val="auto"/>
          <w:kern w:val="2"/>
          <w:sz w:val="24"/>
          <w:szCs w:val="24"/>
          <w:lang w:val="zh-CN"/>
        </w:rPr>
      </w:sdtEndPr>
      <w:sdtContent>
        <w:p>
          <w:pPr>
            <w:pStyle w:val="148"/>
            <w:ind w:firstLine="360"/>
            <w:jc w:val="center"/>
            <w:rPr>
              <w:rFonts w:ascii="仿宋" w:hAnsi="仿宋" w:eastAsia="仿宋" w:cs="仿宋"/>
              <w:b/>
              <w:bCs/>
              <w:color w:val="auto"/>
              <w:sz w:val="36"/>
              <w:szCs w:val="36"/>
              <w:lang w:val="zh-CN"/>
            </w:rPr>
          </w:pPr>
          <w:r>
            <w:rPr>
              <w:rFonts w:ascii="仿宋" w:hAnsi="仿宋" w:eastAsia="仿宋" w:cs="仿宋"/>
              <w:b/>
              <w:bCs/>
              <w:color w:val="auto"/>
              <w:sz w:val="36"/>
              <w:szCs w:val="36"/>
              <w:lang w:val="zh-CN"/>
            </w:rPr>
            <w:t>目</w:t>
          </w:r>
          <w:r>
            <w:rPr>
              <w:rFonts w:hint="eastAsia" w:ascii="仿宋" w:hAnsi="仿宋" w:eastAsia="仿宋" w:cs="仿宋"/>
              <w:b/>
              <w:bCs/>
              <w:color w:val="auto"/>
              <w:sz w:val="36"/>
              <w:szCs w:val="36"/>
              <w:lang w:val="zh-CN"/>
            </w:rPr>
            <w:t xml:space="preserve"> </w:t>
          </w:r>
          <w:r>
            <w:rPr>
              <w:rFonts w:ascii="仿宋" w:hAnsi="仿宋" w:eastAsia="仿宋" w:cs="仿宋"/>
              <w:b/>
              <w:bCs/>
              <w:color w:val="auto"/>
              <w:sz w:val="36"/>
              <w:szCs w:val="36"/>
              <w:lang w:val="zh-CN"/>
            </w:rPr>
            <w:t xml:space="preserve"> 录</w:t>
          </w:r>
        </w:p>
        <w:p>
          <w:pPr>
            <w:pStyle w:val="4"/>
            <w:tabs>
              <w:tab w:val="right" w:leader="dot" w:pos="8306"/>
              <w:tab w:val="clear" w:pos="540"/>
              <w:tab w:val="clear" w:pos="8296"/>
            </w:tabs>
          </w:pPr>
          <w:r>
            <w:fldChar w:fldCharType="begin"/>
          </w:r>
          <w:r>
            <w:instrText xml:space="preserve"> TOC \o "1-3" \h \z \u </w:instrText>
          </w:r>
          <w:r>
            <w:fldChar w:fldCharType="separate"/>
          </w:r>
          <w:r>
            <w:fldChar w:fldCharType="begin"/>
          </w:r>
          <w:r>
            <w:instrText xml:space="preserve"> HYPERLINK \l _Toc1563 </w:instrText>
          </w:r>
          <w:r>
            <w:fldChar w:fldCharType="separate"/>
          </w:r>
          <w:r>
            <w:rPr>
              <w:rFonts w:hint="eastAsia" w:cs="仿宋"/>
            </w:rPr>
            <w:t>前  言</w:t>
          </w:r>
          <w:r>
            <w:tab/>
          </w:r>
          <w:r>
            <w:fldChar w:fldCharType="begin"/>
          </w:r>
          <w:r>
            <w:instrText xml:space="preserve"> PAGEREF _Toc1563 \h </w:instrText>
          </w:r>
          <w:r>
            <w:fldChar w:fldCharType="separate"/>
          </w:r>
          <w:r>
            <w:t>4</w:t>
          </w:r>
          <w:r>
            <w:fldChar w:fldCharType="end"/>
          </w:r>
          <w: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_Toc4484 </w:instrText>
          </w:r>
          <w:r>
            <w:rPr>
              <w:bCs/>
              <w:lang w:val="zh-CN"/>
            </w:rPr>
            <w:fldChar w:fldCharType="separate"/>
          </w:r>
          <w:r>
            <w:rPr>
              <w:rFonts w:hint="eastAsia" w:cs="仿宋"/>
            </w:rPr>
            <w:t>一、项目基本情况</w:t>
          </w:r>
          <w:r>
            <w:tab/>
          </w:r>
          <w:r>
            <w:fldChar w:fldCharType="begin"/>
          </w:r>
          <w:r>
            <w:instrText xml:space="preserve"> PAGEREF _Toc4484 \h </w:instrText>
          </w:r>
          <w:r>
            <w:fldChar w:fldCharType="separate"/>
          </w:r>
          <w:r>
            <w:t>6</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_Toc32175 </w:instrText>
          </w:r>
          <w:r>
            <w:rPr>
              <w:bCs/>
              <w:lang w:val="zh-CN"/>
            </w:rPr>
            <w:fldChar w:fldCharType="separate"/>
          </w:r>
          <w:r>
            <w:rPr>
              <w:rFonts w:hint="eastAsia"/>
            </w:rPr>
            <w:t>（一）城市发展概况</w:t>
          </w:r>
          <w:r>
            <w:tab/>
          </w:r>
          <w:r>
            <w:fldChar w:fldCharType="begin"/>
          </w:r>
          <w:r>
            <w:instrText xml:space="preserve"> PAGEREF _Toc32175 \h </w:instrText>
          </w:r>
          <w:r>
            <w:fldChar w:fldCharType="separate"/>
          </w:r>
          <w:r>
            <w:t>6</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_Toc15727 </w:instrText>
          </w:r>
          <w:r>
            <w:rPr>
              <w:bCs/>
              <w:lang w:val="zh-CN"/>
            </w:rPr>
            <w:fldChar w:fldCharType="separate"/>
          </w:r>
          <w:r>
            <w:rPr>
              <w:rFonts w:hint="eastAsia"/>
            </w:rPr>
            <w:t>1.成都市概况</w:t>
          </w:r>
          <w:r>
            <w:tab/>
          </w:r>
          <w:r>
            <w:fldChar w:fldCharType="begin"/>
          </w:r>
          <w:r>
            <w:instrText xml:space="preserve"> PAGEREF _Toc15727 \h </w:instrText>
          </w:r>
          <w:r>
            <w:fldChar w:fldCharType="separate"/>
          </w:r>
          <w:r>
            <w:t>6</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_Toc8988 </w:instrText>
          </w:r>
          <w:r>
            <w:rPr>
              <w:bCs/>
              <w:lang w:val="zh-CN"/>
            </w:rPr>
            <w:fldChar w:fldCharType="separate"/>
          </w:r>
          <w:r>
            <w:rPr>
              <w:rFonts w:hint="eastAsia" w:cs="仿宋"/>
            </w:rPr>
            <w:t>2.成都市国民经济情况</w:t>
          </w:r>
          <w:r>
            <w:tab/>
          </w:r>
          <w:r>
            <w:fldChar w:fldCharType="begin"/>
          </w:r>
          <w:r>
            <w:instrText xml:space="preserve"> PAGEREF _Toc8988 \h </w:instrText>
          </w:r>
          <w:r>
            <w:fldChar w:fldCharType="separate"/>
          </w:r>
          <w:r>
            <w:t>6</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_Toc11833 </w:instrText>
          </w:r>
          <w:r>
            <w:rPr>
              <w:bCs/>
              <w:lang w:val="zh-CN"/>
            </w:rPr>
            <w:fldChar w:fldCharType="separate"/>
          </w:r>
          <w:r>
            <w:rPr>
              <w:rFonts w:hint="eastAsia" w:cs="仿宋"/>
            </w:rPr>
            <w:t>（二）城市规划及行业规划</w:t>
          </w:r>
          <w:r>
            <w:tab/>
          </w:r>
          <w:r>
            <w:fldChar w:fldCharType="begin"/>
          </w:r>
          <w:r>
            <w:instrText xml:space="preserve"> PAGEREF _Toc11833 \h </w:instrText>
          </w:r>
          <w:r>
            <w:fldChar w:fldCharType="separate"/>
          </w:r>
          <w:r>
            <w:t>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_Toc6049 </w:instrText>
          </w:r>
          <w:r>
            <w:rPr>
              <w:bCs/>
              <w:lang w:val="zh-CN"/>
            </w:rPr>
            <w:fldChar w:fldCharType="separate"/>
          </w:r>
          <w:r>
            <w:rPr>
              <w:rFonts w:hint="eastAsia"/>
            </w:rPr>
            <w:t>1.成都市城市总体规划</w:t>
          </w:r>
          <w:r>
            <w:tab/>
          </w:r>
          <w:r>
            <w:fldChar w:fldCharType="begin"/>
          </w:r>
          <w:r>
            <w:instrText xml:space="preserve"> PAGEREF _Toc6049 \h </w:instrText>
          </w:r>
          <w:r>
            <w:fldChar w:fldCharType="separate"/>
          </w:r>
          <w:r>
            <w:t>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_Toc15775 </w:instrText>
          </w:r>
          <w:r>
            <w:rPr>
              <w:bCs/>
              <w:lang w:val="zh-CN"/>
            </w:rPr>
            <w:fldChar w:fldCharType="separate"/>
          </w:r>
          <w:r>
            <w:rPr>
              <w:rFonts w:hint="eastAsia" w:cs="仿宋"/>
            </w:rPr>
            <w:t>2.四川省市政基础设施发展规划</w:t>
          </w:r>
          <w:r>
            <w:tab/>
          </w:r>
          <w:r>
            <w:fldChar w:fldCharType="begin"/>
          </w:r>
          <w:r>
            <w:instrText xml:space="preserve"> PAGEREF _Toc15775 \h </w:instrText>
          </w:r>
          <w:r>
            <w:fldChar w:fldCharType="separate"/>
          </w:r>
          <w:r>
            <w:t>8</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_Toc23988 </w:instrText>
          </w:r>
          <w:r>
            <w:rPr>
              <w:bCs/>
              <w:lang w:val="zh-CN"/>
            </w:rPr>
            <w:fldChar w:fldCharType="separate"/>
          </w:r>
          <w:r>
            <w:rPr>
              <w:rFonts w:hint="eastAsia" w:cs="仿宋"/>
            </w:rPr>
            <w:t>3.新都区市政基础设施发展规划</w:t>
          </w:r>
          <w:r>
            <w:tab/>
          </w:r>
          <w:r>
            <w:fldChar w:fldCharType="begin"/>
          </w:r>
          <w:r>
            <w:instrText xml:space="preserve"> PAGEREF _Toc23988 \h </w:instrText>
          </w:r>
          <w:r>
            <w:fldChar w:fldCharType="separate"/>
          </w:r>
          <w:r>
            <w:t>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_Toc23871 </w:instrText>
          </w:r>
          <w:r>
            <w:rPr>
              <w:bCs/>
              <w:lang w:val="zh-CN"/>
            </w:rPr>
            <w:fldChar w:fldCharType="separate"/>
          </w:r>
          <w:r>
            <w:rPr>
              <w:rFonts w:hint="eastAsia" w:cs="仿宋"/>
            </w:rPr>
            <w:t>（三）项目概况</w:t>
          </w:r>
          <w:r>
            <w:tab/>
          </w:r>
          <w:r>
            <w:fldChar w:fldCharType="begin"/>
          </w:r>
          <w:r>
            <w:instrText xml:space="preserve"> PAGEREF _Toc23871 \h </w:instrText>
          </w:r>
          <w:r>
            <w:fldChar w:fldCharType="separate"/>
          </w:r>
          <w:r>
            <w:t>10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_Toc15728 </w:instrText>
          </w:r>
          <w:r>
            <w:rPr>
              <w:bCs/>
              <w:lang w:val="zh-CN"/>
            </w:rPr>
            <w:fldChar w:fldCharType="separate"/>
          </w:r>
          <w:r>
            <w:rPr>
              <w:rFonts w:hint="eastAsia"/>
            </w:rPr>
            <w:t>1.参与主体</w:t>
          </w:r>
          <w:r>
            <w:tab/>
          </w:r>
          <w:r>
            <w:fldChar w:fldCharType="begin"/>
          </w:r>
          <w:r>
            <w:instrText xml:space="preserve"> PAGEREF _Toc15728 \h </w:instrText>
          </w:r>
          <w:r>
            <w:fldChar w:fldCharType="separate"/>
          </w:r>
          <w:r>
            <w:t>10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_Toc17875 </w:instrText>
          </w:r>
          <w:r>
            <w:rPr>
              <w:bCs/>
              <w:lang w:val="zh-CN"/>
            </w:rPr>
            <w:fldChar w:fldCharType="separate"/>
          </w:r>
          <w:r>
            <w:rPr>
              <w:rFonts w:hint="eastAsia" w:cs="仿宋"/>
            </w:rPr>
            <w:t>2.项目概况</w:t>
          </w:r>
          <w:r>
            <w:tab/>
          </w:r>
          <w:r>
            <w:fldChar w:fldCharType="begin"/>
          </w:r>
          <w:r>
            <w:instrText xml:space="preserve"> PAGEREF _Toc17875 \h </w:instrText>
          </w:r>
          <w:r>
            <w:fldChar w:fldCharType="separate"/>
          </w:r>
          <w:r>
            <w:t>10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_Toc8561 </w:instrText>
          </w:r>
          <w:r>
            <w:rPr>
              <w:bCs/>
              <w:lang w:val="zh-CN"/>
            </w:rPr>
            <w:fldChar w:fldCharType="separate"/>
          </w:r>
          <w:r>
            <w:rPr>
              <w:rFonts w:hint="eastAsia" w:cs="仿宋"/>
            </w:rPr>
            <w:t>3.建设运营方案</w:t>
          </w:r>
          <w:r>
            <w:tab/>
          </w:r>
          <w:r>
            <w:fldChar w:fldCharType="begin"/>
          </w:r>
          <w:r>
            <w:instrText xml:space="preserve"> PAGEREF _Toc8561 \h </w:instrText>
          </w:r>
          <w:r>
            <w:fldChar w:fldCharType="separate"/>
          </w:r>
          <w:r>
            <w:t>13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_Toc8497 </w:instrText>
          </w:r>
          <w:r>
            <w:rPr>
              <w:bCs/>
              <w:lang w:val="zh-CN"/>
            </w:rPr>
            <w:fldChar w:fldCharType="separate"/>
          </w:r>
          <w:r>
            <w:rPr>
              <w:rFonts w:hint="eastAsia" w:cs="仿宋"/>
            </w:rPr>
            <w:t>4.项目的公益性分析</w:t>
          </w:r>
          <w:r>
            <w:tab/>
          </w:r>
          <w:r>
            <w:fldChar w:fldCharType="begin"/>
          </w:r>
          <w:r>
            <w:instrText xml:space="preserve"> PAGEREF _Toc8497 \h </w:instrText>
          </w:r>
          <w:r>
            <w:fldChar w:fldCharType="separate"/>
          </w:r>
          <w:r>
            <w:t>15</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_Toc22357 </w:instrText>
          </w:r>
          <w:r>
            <w:rPr>
              <w:bCs/>
              <w:lang w:val="zh-CN"/>
            </w:rPr>
            <w:fldChar w:fldCharType="separate"/>
          </w:r>
          <w:r>
            <w:rPr>
              <w:rFonts w:hint="eastAsia"/>
            </w:rPr>
            <w:t xml:space="preserve">（四） </w:t>
          </w:r>
          <w:r>
            <w:rPr>
              <w:rFonts w:hint="eastAsia" w:cs="仿宋"/>
            </w:rPr>
            <w:t>专项债券事前绩效目标</w:t>
          </w:r>
          <w:r>
            <w:tab/>
          </w:r>
          <w:r>
            <w:fldChar w:fldCharType="begin"/>
          </w:r>
          <w:r>
            <w:instrText xml:space="preserve"> PAGEREF _Toc22357 \h </w:instrText>
          </w:r>
          <w:r>
            <w:fldChar w:fldCharType="separate"/>
          </w:r>
          <w:r>
            <w:t>16</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_Toc3376 </w:instrText>
          </w:r>
          <w:r>
            <w:rPr>
              <w:bCs/>
              <w:lang w:val="zh-CN"/>
            </w:rPr>
            <w:fldChar w:fldCharType="separate"/>
          </w:r>
          <w:r>
            <w:rPr>
              <w:rFonts w:hint="eastAsia" w:cs="仿宋"/>
            </w:rPr>
            <w:t>二、经济社会效益分析</w:t>
          </w:r>
          <w:r>
            <w:tab/>
          </w:r>
          <w:r>
            <w:fldChar w:fldCharType="begin"/>
          </w:r>
          <w:r>
            <w:instrText xml:space="preserve"> PAGEREF _Toc3376 \h </w:instrText>
          </w:r>
          <w:r>
            <w:fldChar w:fldCharType="separate"/>
          </w:r>
          <w:r>
            <w:t>17</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_Toc1771 </w:instrText>
          </w:r>
          <w:r>
            <w:rPr>
              <w:bCs/>
              <w:lang w:val="zh-CN"/>
            </w:rPr>
            <w:fldChar w:fldCharType="separate"/>
          </w:r>
          <w:r>
            <w:rPr>
              <w:rFonts w:hint="eastAsia"/>
            </w:rPr>
            <w:t>（一）经济效益分析</w:t>
          </w:r>
          <w:r>
            <w:tab/>
          </w:r>
          <w:r>
            <w:fldChar w:fldCharType="begin"/>
          </w:r>
          <w:r>
            <w:instrText xml:space="preserve"> PAGEREF _Toc1771 \h </w:instrText>
          </w:r>
          <w:r>
            <w:fldChar w:fldCharType="separate"/>
          </w:r>
          <w:r>
            <w:t>17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_Toc13265 </w:instrText>
          </w:r>
          <w:r>
            <w:rPr>
              <w:bCs/>
              <w:lang w:val="zh-CN"/>
            </w:rPr>
            <w:fldChar w:fldCharType="separate"/>
          </w:r>
          <w:r>
            <w:rPr>
              <w:rFonts w:hint="eastAsia"/>
            </w:rPr>
            <w:t>1.带动相关行业，促进经济平稳发展</w:t>
          </w:r>
          <w:r>
            <w:tab/>
          </w:r>
          <w:r>
            <w:fldChar w:fldCharType="begin"/>
          </w:r>
          <w:r>
            <w:instrText xml:space="preserve"> PAGEREF _Toc13265 \h </w:instrText>
          </w:r>
          <w:r>
            <w:fldChar w:fldCharType="separate"/>
          </w:r>
          <w:r>
            <w:t>17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_Toc2302 </w:instrText>
          </w:r>
          <w:r>
            <w:rPr>
              <w:bCs/>
              <w:lang w:val="zh-CN"/>
            </w:rPr>
            <w:fldChar w:fldCharType="separate"/>
          </w:r>
          <w:r>
            <w:rPr>
              <w:rFonts w:hint="eastAsia"/>
            </w:rPr>
            <w:t>2.促进当地经济发展，积极扩大就业需求</w:t>
          </w:r>
          <w:r>
            <w:tab/>
          </w:r>
          <w:r>
            <w:fldChar w:fldCharType="begin"/>
          </w:r>
          <w:r>
            <w:instrText xml:space="preserve"> PAGEREF _Toc2302 \h </w:instrText>
          </w:r>
          <w:r>
            <w:fldChar w:fldCharType="separate"/>
          </w:r>
          <w:r>
            <w:t>17</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_Toc25480 </w:instrText>
          </w:r>
          <w:r>
            <w:rPr>
              <w:bCs/>
              <w:lang w:val="zh-CN"/>
            </w:rPr>
            <w:fldChar w:fldCharType="separate"/>
          </w:r>
          <w:r>
            <w:rPr>
              <w:rFonts w:hint="eastAsia"/>
            </w:rPr>
            <w:t>（二）社会效益分析</w:t>
          </w:r>
          <w:r>
            <w:tab/>
          </w:r>
          <w:r>
            <w:fldChar w:fldCharType="begin"/>
          </w:r>
          <w:r>
            <w:instrText xml:space="preserve"> PAGEREF _Toc25480 \h </w:instrText>
          </w:r>
          <w:r>
            <w:fldChar w:fldCharType="separate"/>
          </w:r>
          <w:r>
            <w:t>18</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_Toc15527 </w:instrText>
          </w:r>
          <w:r>
            <w:rPr>
              <w:bCs/>
              <w:lang w:val="zh-CN"/>
            </w:rPr>
            <w:fldChar w:fldCharType="separate"/>
          </w:r>
          <w:r>
            <w:rPr>
              <w:rFonts w:hint="eastAsia"/>
            </w:rPr>
            <w:t>1.补齐网通产业链短板，加快推动网通产业集群集聚发展</w:t>
          </w:r>
          <w:r>
            <w:tab/>
          </w:r>
          <w:r>
            <w:fldChar w:fldCharType="begin"/>
          </w:r>
          <w:r>
            <w:instrText xml:space="preserve"> PAGEREF _Toc15527 \h </w:instrText>
          </w:r>
          <w:r>
            <w:fldChar w:fldCharType="separate"/>
          </w:r>
          <w:r>
            <w:t>18</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_Toc21059 </w:instrText>
          </w:r>
          <w:r>
            <w:rPr>
              <w:bCs/>
              <w:lang w:val="zh-CN"/>
            </w:rPr>
            <w:fldChar w:fldCharType="separate"/>
          </w:r>
          <w:r>
            <w:rPr>
              <w:rFonts w:hint="eastAsia"/>
            </w:rPr>
            <w:t>2.有利于打造优质营商环境，推动网通产业高质量发展</w:t>
          </w:r>
          <w:r>
            <w:tab/>
          </w:r>
          <w:r>
            <w:fldChar w:fldCharType="begin"/>
          </w:r>
          <w:r>
            <w:instrText xml:space="preserve"> PAGEREF _Toc21059 \h </w:instrText>
          </w:r>
          <w:r>
            <w:fldChar w:fldCharType="separate"/>
          </w:r>
          <w:r>
            <w:t>18</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_Toc23796 </w:instrText>
          </w:r>
          <w:r>
            <w:rPr>
              <w:bCs/>
              <w:lang w:val="zh-CN"/>
            </w:rPr>
            <w:fldChar w:fldCharType="separate"/>
          </w:r>
          <w:r>
            <w:rPr>
              <w:rFonts w:hint="eastAsia"/>
            </w:rPr>
            <w:t>3.推动城市建设，保持社会稳定</w:t>
          </w:r>
          <w:r>
            <w:tab/>
          </w:r>
          <w:r>
            <w:fldChar w:fldCharType="begin"/>
          </w:r>
          <w:r>
            <w:instrText xml:space="preserve"> PAGEREF _Toc23796 \h </w:instrText>
          </w:r>
          <w:r>
            <w:fldChar w:fldCharType="separate"/>
          </w:r>
          <w:r>
            <w:t>18</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_Toc3843 </w:instrText>
          </w:r>
          <w:r>
            <w:rPr>
              <w:bCs/>
              <w:lang w:val="zh-CN"/>
            </w:rPr>
            <w:fldChar w:fldCharType="separate"/>
          </w:r>
          <w:r>
            <w:rPr>
              <w:rFonts w:hint="eastAsia"/>
            </w:rPr>
            <w:t>三、项目投资测算</w:t>
          </w:r>
          <w:r>
            <w:tab/>
          </w:r>
          <w:r>
            <w:fldChar w:fldCharType="begin"/>
          </w:r>
          <w:r>
            <w:instrText xml:space="preserve"> PAGEREF _Toc3843 \h </w:instrText>
          </w:r>
          <w:r>
            <w:fldChar w:fldCharType="separate"/>
          </w:r>
          <w:r>
            <w:t>20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_Toc9318 </w:instrText>
          </w:r>
          <w:r>
            <w:rPr>
              <w:bCs/>
              <w:lang w:val="zh-CN"/>
            </w:rPr>
            <w:fldChar w:fldCharType="separate"/>
          </w:r>
          <w:r>
            <w:rPr>
              <w:rFonts w:hint="eastAsia"/>
            </w:rPr>
            <w:t>（一）投资估算</w:t>
          </w:r>
          <w:r>
            <w:tab/>
          </w:r>
          <w:r>
            <w:fldChar w:fldCharType="begin"/>
          </w:r>
          <w:r>
            <w:instrText xml:space="preserve"> PAGEREF _Toc9318 \h </w:instrText>
          </w:r>
          <w:r>
            <w:fldChar w:fldCharType="separate"/>
          </w:r>
          <w:r>
            <w:t>20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_Toc15290 </w:instrText>
          </w:r>
          <w:r>
            <w:rPr>
              <w:bCs/>
              <w:lang w:val="zh-CN"/>
            </w:rPr>
            <w:fldChar w:fldCharType="separate"/>
          </w:r>
          <w:r>
            <w:rPr>
              <w:rFonts w:hint="eastAsia" w:cs="仿宋"/>
              <w:szCs w:val="20"/>
            </w:rPr>
            <w:t>1.</w:t>
          </w:r>
          <w:r>
            <w:rPr>
              <w:rFonts w:hint="eastAsia" w:cs="仿宋"/>
            </w:rPr>
            <w:t>编制依据</w:t>
          </w:r>
          <w:r>
            <w:tab/>
          </w:r>
          <w:r>
            <w:fldChar w:fldCharType="begin"/>
          </w:r>
          <w:r>
            <w:instrText xml:space="preserve"> PAGEREF _Toc15290 \h </w:instrText>
          </w:r>
          <w:r>
            <w:fldChar w:fldCharType="separate"/>
          </w:r>
          <w:r>
            <w:t>20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_Toc8373 </w:instrText>
          </w:r>
          <w:r>
            <w:rPr>
              <w:bCs/>
              <w:lang w:val="zh-CN"/>
            </w:rPr>
            <w:fldChar w:fldCharType="separate"/>
          </w:r>
          <w:r>
            <w:rPr>
              <w:rFonts w:hint="eastAsia" w:cs="仿宋"/>
            </w:rPr>
            <w:t>2.估算说明</w:t>
          </w:r>
          <w:r>
            <w:tab/>
          </w:r>
          <w:r>
            <w:fldChar w:fldCharType="begin"/>
          </w:r>
          <w:r>
            <w:instrText xml:space="preserve"> PAGEREF _Toc8373 \h </w:instrText>
          </w:r>
          <w:r>
            <w:fldChar w:fldCharType="separate"/>
          </w:r>
          <w:r>
            <w:t>20</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_Toc7311 </w:instrText>
          </w:r>
          <w:r>
            <w:rPr>
              <w:bCs/>
              <w:lang w:val="zh-CN"/>
            </w:rPr>
            <w:fldChar w:fldCharType="separate"/>
          </w:r>
          <w:r>
            <w:rPr>
              <w:rFonts w:hint="eastAsia" w:cs="仿宋"/>
            </w:rPr>
            <w:t>3.投资估算范围内容</w:t>
          </w:r>
          <w:r>
            <w:tab/>
          </w:r>
          <w:r>
            <w:fldChar w:fldCharType="begin"/>
          </w:r>
          <w:r>
            <w:instrText xml:space="preserve"> PAGEREF _Toc7311 \h </w:instrText>
          </w:r>
          <w:r>
            <w:fldChar w:fldCharType="separate"/>
          </w:r>
          <w:r>
            <w:t>21</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_Toc26002 </w:instrText>
          </w:r>
          <w:r>
            <w:rPr>
              <w:bCs/>
              <w:lang w:val="zh-CN"/>
            </w:rPr>
            <w:fldChar w:fldCharType="separate"/>
          </w:r>
          <w:r>
            <w:rPr>
              <w:rFonts w:hint="eastAsia" w:cs="仿宋"/>
            </w:rPr>
            <w:t>（二）资金筹措方案</w:t>
          </w:r>
          <w:r>
            <w:tab/>
          </w:r>
          <w:r>
            <w:fldChar w:fldCharType="begin"/>
          </w:r>
          <w:r>
            <w:instrText xml:space="preserve"> PAGEREF _Toc26002 \h </w:instrText>
          </w:r>
          <w:r>
            <w:fldChar w:fldCharType="separate"/>
          </w:r>
          <w:r>
            <w:t>34</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_Toc24072 </w:instrText>
          </w:r>
          <w:r>
            <w:rPr>
              <w:bCs/>
              <w:lang w:val="zh-CN"/>
            </w:rPr>
            <w:fldChar w:fldCharType="separate"/>
          </w:r>
          <w:r>
            <w:rPr>
              <w:rFonts w:hint="eastAsia" w:cs="仿宋"/>
            </w:rPr>
            <w:t>1.资金来源</w:t>
          </w:r>
          <w:r>
            <w:tab/>
          </w:r>
          <w:r>
            <w:fldChar w:fldCharType="begin"/>
          </w:r>
          <w:r>
            <w:instrText xml:space="preserve"> PAGEREF _Toc24072 \h </w:instrText>
          </w:r>
          <w:r>
            <w:fldChar w:fldCharType="separate"/>
          </w:r>
          <w:r>
            <w:t>34</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_Toc7834 </w:instrText>
          </w:r>
          <w:r>
            <w:rPr>
              <w:bCs/>
              <w:lang w:val="zh-CN"/>
            </w:rPr>
            <w:fldChar w:fldCharType="separate"/>
          </w:r>
          <w:r>
            <w:rPr>
              <w:rFonts w:hint="eastAsia" w:cs="仿宋"/>
            </w:rPr>
            <w:t>2.项目实施计划</w:t>
          </w:r>
          <w:r>
            <w:tab/>
          </w:r>
          <w:r>
            <w:fldChar w:fldCharType="begin"/>
          </w:r>
          <w:r>
            <w:instrText xml:space="preserve"> PAGEREF _Toc7834 \h </w:instrText>
          </w:r>
          <w:r>
            <w:fldChar w:fldCharType="separate"/>
          </w:r>
          <w:r>
            <w:t>34</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_Toc12725 </w:instrText>
          </w:r>
          <w:r>
            <w:rPr>
              <w:bCs/>
              <w:lang w:val="zh-CN"/>
            </w:rPr>
            <w:fldChar w:fldCharType="separate"/>
          </w:r>
          <w:r>
            <w:rPr>
              <w:rFonts w:hint="eastAsia"/>
            </w:rPr>
            <w:t>3.资金使用计划</w:t>
          </w:r>
          <w:r>
            <w:tab/>
          </w:r>
          <w:r>
            <w:fldChar w:fldCharType="begin"/>
          </w:r>
          <w:r>
            <w:instrText xml:space="preserve"> PAGEREF _Toc12725 \h </w:instrText>
          </w:r>
          <w:r>
            <w:fldChar w:fldCharType="separate"/>
          </w:r>
          <w:r>
            <w:t>35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_Toc16865 </w:instrText>
          </w:r>
          <w:r>
            <w:rPr>
              <w:bCs/>
              <w:lang w:val="zh-CN"/>
            </w:rPr>
            <w:fldChar w:fldCharType="separate"/>
          </w:r>
          <w:r>
            <w:rPr>
              <w:rFonts w:hint="eastAsia"/>
            </w:rPr>
            <w:t>4.资本金来源落实说明</w:t>
          </w:r>
          <w:r>
            <w:tab/>
          </w:r>
          <w:r>
            <w:fldChar w:fldCharType="begin"/>
          </w:r>
          <w:r>
            <w:instrText xml:space="preserve"> PAGEREF _Toc16865 \h </w:instrText>
          </w:r>
          <w:r>
            <w:fldChar w:fldCharType="separate"/>
          </w:r>
          <w:r>
            <w:t>35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_Toc7448 </w:instrText>
          </w:r>
          <w:r>
            <w:rPr>
              <w:bCs/>
              <w:lang w:val="zh-CN"/>
            </w:rPr>
            <w:fldChar w:fldCharType="separate"/>
          </w:r>
          <w:r>
            <w:rPr>
              <w:rFonts w:hint="eastAsia" w:cs="仿宋"/>
            </w:rPr>
            <w:t>5.资金管理方案</w:t>
          </w:r>
          <w:r>
            <w:tab/>
          </w:r>
          <w:r>
            <w:fldChar w:fldCharType="begin"/>
          </w:r>
          <w:r>
            <w:instrText xml:space="preserve"> PAGEREF _Toc7448 \h </w:instrText>
          </w:r>
          <w:r>
            <w:fldChar w:fldCharType="separate"/>
          </w:r>
          <w:r>
            <w:t>35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_Toc28594 </w:instrText>
          </w:r>
          <w:r>
            <w:rPr>
              <w:bCs/>
              <w:lang w:val="zh-CN"/>
            </w:rPr>
            <w:fldChar w:fldCharType="separate"/>
          </w:r>
          <w:r>
            <w:rPr>
              <w:rFonts w:hint="eastAsia" w:cs="仿宋"/>
              <w:szCs w:val="20"/>
            </w:rPr>
            <w:t>6.</w:t>
          </w:r>
          <w:r>
            <w:rPr>
              <w:rFonts w:hint="eastAsia" w:cs="仿宋"/>
            </w:rPr>
            <w:t>资金保障措施</w:t>
          </w:r>
          <w:r>
            <w:tab/>
          </w:r>
          <w:r>
            <w:fldChar w:fldCharType="begin"/>
          </w:r>
          <w:r>
            <w:instrText xml:space="preserve"> PAGEREF _Toc28594 \h </w:instrText>
          </w:r>
          <w:r>
            <w:fldChar w:fldCharType="separate"/>
          </w:r>
          <w:r>
            <w:t>37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_Toc29911 </w:instrText>
          </w:r>
          <w:r>
            <w:rPr>
              <w:bCs/>
              <w:lang w:val="zh-CN"/>
            </w:rPr>
            <w:fldChar w:fldCharType="separate"/>
          </w:r>
          <w:r>
            <w:rPr>
              <w:rFonts w:hint="eastAsia"/>
            </w:rPr>
            <w:t>7.项目主管部门及责任主体</w:t>
          </w:r>
          <w:r>
            <w:tab/>
          </w:r>
          <w:r>
            <w:fldChar w:fldCharType="begin"/>
          </w:r>
          <w:r>
            <w:instrText xml:space="preserve"> PAGEREF _Toc29911 \h </w:instrText>
          </w:r>
          <w:r>
            <w:fldChar w:fldCharType="separate"/>
          </w:r>
          <w:r>
            <w:t>37</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_Toc3713 </w:instrText>
          </w:r>
          <w:r>
            <w:rPr>
              <w:bCs/>
              <w:lang w:val="zh-CN"/>
            </w:rPr>
            <w:fldChar w:fldCharType="separate"/>
          </w:r>
          <w:r>
            <w:rPr>
              <w:rFonts w:hint="eastAsia" w:cs="仿宋"/>
            </w:rPr>
            <w:t>四、项目预期收益、成本及融资平衡情况</w:t>
          </w:r>
          <w:r>
            <w:tab/>
          </w:r>
          <w:r>
            <w:fldChar w:fldCharType="begin"/>
          </w:r>
          <w:r>
            <w:instrText xml:space="preserve"> PAGEREF _Toc3713 \h </w:instrText>
          </w:r>
          <w:r>
            <w:fldChar w:fldCharType="separate"/>
          </w:r>
          <w:r>
            <w:t>39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_Toc6407 </w:instrText>
          </w:r>
          <w:r>
            <w:rPr>
              <w:bCs/>
              <w:lang w:val="zh-CN"/>
            </w:rPr>
            <w:fldChar w:fldCharType="separate"/>
          </w:r>
          <w:r>
            <w:rPr>
              <w:rFonts w:hint="eastAsia"/>
            </w:rPr>
            <w:t>（一）预期收益</w:t>
          </w:r>
          <w:r>
            <w:tab/>
          </w:r>
          <w:r>
            <w:fldChar w:fldCharType="begin"/>
          </w:r>
          <w:r>
            <w:instrText xml:space="preserve"> PAGEREF _Toc6407 \h </w:instrText>
          </w:r>
          <w:r>
            <w:fldChar w:fldCharType="separate"/>
          </w:r>
          <w:r>
            <w:t>39</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_Toc17766 </w:instrText>
          </w:r>
          <w:r>
            <w:rPr>
              <w:bCs/>
              <w:lang w:val="zh-CN"/>
            </w:rPr>
            <w:fldChar w:fldCharType="separate"/>
          </w:r>
          <w:r>
            <w:rPr>
              <w:rFonts w:hint="eastAsia"/>
            </w:rPr>
            <w:t>1.项目收入</w:t>
          </w:r>
          <w:r>
            <w:tab/>
          </w:r>
          <w:r>
            <w:fldChar w:fldCharType="begin"/>
          </w:r>
          <w:r>
            <w:instrText xml:space="preserve"> PAGEREF _Toc17766 \h </w:instrText>
          </w:r>
          <w:r>
            <w:fldChar w:fldCharType="separate"/>
          </w:r>
          <w:r>
            <w:t>39</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_Toc2657 </w:instrText>
          </w:r>
          <w:r>
            <w:rPr>
              <w:bCs/>
              <w:lang w:val="zh-CN"/>
            </w:rPr>
            <w:fldChar w:fldCharType="separate"/>
          </w:r>
          <w:r>
            <w:rPr>
              <w:rFonts w:hint="eastAsia" w:cs="仿宋"/>
            </w:rPr>
            <w:t>2.项目成本</w:t>
          </w:r>
          <w:r>
            <w:tab/>
          </w:r>
          <w:r>
            <w:fldChar w:fldCharType="begin"/>
          </w:r>
          <w:r>
            <w:instrText xml:space="preserve"> PAGEREF _Toc2657 \h </w:instrText>
          </w:r>
          <w:r>
            <w:fldChar w:fldCharType="separate"/>
          </w:r>
          <w:r>
            <w:t>49</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_Toc4954 </w:instrText>
          </w:r>
          <w:r>
            <w:rPr>
              <w:bCs/>
              <w:lang w:val="zh-CN"/>
            </w:rPr>
            <w:fldChar w:fldCharType="separate"/>
          </w:r>
          <w:r>
            <w:rPr>
              <w:rFonts w:hint="eastAsia" w:cs="仿宋"/>
            </w:rPr>
            <w:t>3.相关税费</w:t>
          </w:r>
          <w:r>
            <w:tab/>
          </w:r>
          <w:r>
            <w:fldChar w:fldCharType="begin"/>
          </w:r>
          <w:r>
            <w:instrText xml:space="preserve"> PAGEREF _Toc4954 \h </w:instrText>
          </w:r>
          <w:r>
            <w:fldChar w:fldCharType="separate"/>
          </w:r>
          <w:r>
            <w:t>51</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_Toc3619 </w:instrText>
          </w:r>
          <w:r>
            <w:rPr>
              <w:bCs/>
              <w:lang w:val="zh-CN"/>
            </w:rPr>
            <w:fldChar w:fldCharType="separate"/>
          </w:r>
          <w:r>
            <w:rPr>
              <w:rFonts w:hint="eastAsia"/>
            </w:rPr>
            <w:t>4.项目损益</w:t>
          </w:r>
          <w:r>
            <w:tab/>
          </w:r>
          <w:r>
            <w:fldChar w:fldCharType="begin"/>
          </w:r>
          <w:r>
            <w:instrText xml:space="preserve"> PAGEREF _Toc3619 \h </w:instrText>
          </w:r>
          <w:r>
            <w:fldChar w:fldCharType="separate"/>
          </w:r>
          <w:r>
            <w:t>52</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_Toc17494 </w:instrText>
          </w:r>
          <w:r>
            <w:rPr>
              <w:bCs/>
              <w:lang w:val="zh-CN"/>
            </w:rPr>
            <w:fldChar w:fldCharType="separate"/>
          </w:r>
          <w:r>
            <w:rPr>
              <w:rFonts w:hint="eastAsia"/>
            </w:rPr>
            <w:t>5.息前现金净流量</w:t>
          </w:r>
          <w:r>
            <w:tab/>
          </w:r>
          <w:r>
            <w:fldChar w:fldCharType="begin"/>
          </w:r>
          <w:r>
            <w:instrText xml:space="preserve"> PAGEREF _Toc17494 \h </w:instrText>
          </w:r>
          <w:r>
            <w:fldChar w:fldCharType="separate"/>
          </w:r>
          <w:r>
            <w:t>53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_Toc14085 </w:instrText>
          </w:r>
          <w:r>
            <w:rPr>
              <w:bCs/>
              <w:lang w:val="zh-CN"/>
            </w:rPr>
            <w:fldChar w:fldCharType="separate"/>
          </w:r>
          <w:r>
            <w:rPr>
              <w:rFonts w:hint="eastAsia"/>
            </w:rPr>
            <w:t>6.还本付息</w:t>
          </w:r>
          <w:r>
            <w:tab/>
          </w:r>
          <w:r>
            <w:fldChar w:fldCharType="begin"/>
          </w:r>
          <w:r>
            <w:instrText xml:space="preserve"> PAGEREF _Toc14085 \h </w:instrText>
          </w:r>
          <w:r>
            <w:fldChar w:fldCharType="separate"/>
          </w:r>
          <w:r>
            <w:t>55</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_Toc17489 </w:instrText>
          </w:r>
          <w:r>
            <w:rPr>
              <w:bCs/>
              <w:lang w:val="zh-CN"/>
            </w:rPr>
            <w:fldChar w:fldCharType="separate"/>
          </w:r>
          <w:r>
            <w:rPr>
              <w:rFonts w:hint="eastAsia"/>
            </w:rPr>
            <w:t>（二）资金测算平衡情况</w:t>
          </w:r>
          <w:r>
            <w:tab/>
          </w:r>
          <w:r>
            <w:fldChar w:fldCharType="begin"/>
          </w:r>
          <w:r>
            <w:instrText xml:space="preserve"> PAGEREF _Toc17489 \h </w:instrText>
          </w:r>
          <w:r>
            <w:fldChar w:fldCharType="separate"/>
          </w:r>
          <w:r>
            <w:t>56</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_Toc15571 </w:instrText>
          </w:r>
          <w:r>
            <w:rPr>
              <w:bCs/>
              <w:lang w:val="zh-CN"/>
            </w:rPr>
            <w:fldChar w:fldCharType="separate"/>
          </w:r>
          <w:r>
            <w:rPr>
              <w:rFonts w:hint="eastAsia"/>
            </w:rPr>
            <w:t>（三）其他事项说明</w:t>
          </w:r>
          <w:r>
            <w:tab/>
          </w:r>
          <w:r>
            <w:fldChar w:fldCharType="begin"/>
          </w:r>
          <w:r>
            <w:instrText xml:space="preserve"> PAGEREF _Toc15571 \h </w:instrText>
          </w:r>
          <w:r>
            <w:fldChar w:fldCharType="separate"/>
          </w:r>
          <w:r>
            <w:t>59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_Toc16591 </w:instrText>
          </w:r>
          <w:r>
            <w:rPr>
              <w:bCs/>
              <w:lang w:val="zh-CN"/>
            </w:rPr>
            <w:fldChar w:fldCharType="separate"/>
          </w:r>
          <w:r>
            <w:rPr>
              <w:rFonts w:hint="eastAsia" w:cs="仿宋"/>
            </w:rPr>
            <w:t>（四）独立第三方专业机构进行评估意见</w:t>
          </w:r>
          <w:r>
            <w:tab/>
          </w:r>
          <w:r>
            <w:fldChar w:fldCharType="begin"/>
          </w:r>
          <w:r>
            <w:instrText xml:space="preserve"> PAGEREF _Toc16591 \h </w:instrText>
          </w:r>
          <w:r>
            <w:fldChar w:fldCharType="separate"/>
          </w:r>
          <w:r>
            <w:t>59</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_Toc16446 </w:instrText>
          </w:r>
          <w:r>
            <w:rPr>
              <w:bCs/>
              <w:lang w:val="zh-CN"/>
            </w:rPr>
            <w:fldChar w:fldCharType="separate"/>
          </w:r>
          <w:r>
            <w:rPr>
              <w:rFonts w:hint="eastAsia" w:cs="仿宋"/>
            </w:rPr>
            <w:t>1.会计师事务所评估意见</w:t>
          </w:r>
          <w:r>
            <w:tab/>
          </w:r>
          <w:r>
            <w:fldChar w:fldCharType="begin"/>
          </w:r>
          <w:r>
            <w:instrText xml:space="preserve"> PAGEREF _Toc16446 \h </w:instrText>
          </w:r>
          <w:r>
            <w:fldChar w:fldCharType="separate"/>
          </w:r>
          <w:r>
            <w:t>59</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_Toc25591 </w:instrText>
          </w:r>
          <w:r>
            <w:rPr>
              <w:bCs/>
              <w:lang w:val="zh-CN"/>
            </w:rPr>
            <w:fldChar w:fldCharType="separate"/>
          </w:r>
          <w:r>
            <w:rPr>
              <w:rFonts w:hint="eastAsia" w:cs="仿宋"/>
            </w:rPr>
            <w:t>2.律师事务所法律意见</w:t>
          </w:r>
          <w:r>
            <w:tab/>
          </w:r>
          <w:r>
            <w:fldChar w:fldCharType="begin"/>
          </w:r>
          <w:r>
            <w:instrText xml:space="preserve"> PAGEREF _Toc25591 \h </w:instrText>
          </w:r>
          <w:r>
            <w:fldChar w:fldCharType="separate"/>
          </w:r>
          <w:r>
            <w:t>59</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_Toc1579 </w:instrText>
          </w:r>
          <w:r>
            <w:rPr>
              <w:bCs/>
              <w:lang w:val="zh-CN"/>
            </w:rPr>
            <w:fldChar w:fldCharType="separate"/>
          </w:r>
          <w:r>
            <w:rPr>
              <w:rFonts w:hint="eastAsia" w:cs="仿宋"/>
            </w:rPr>
            <w:t>五、项目融资计划</w:t>
          </w:r>
          <w:r>
            <w:tab/>
          </w:r>
          <w:r>
            <w:fldChar w:fldCharType="begin"/>
          </w:r>
          <w:r>
            <w:instrText xml:space="preserve"> PAGEREF _Toc1579 \h </w:instrText>
          </w:r>
          <w:r>
            <w:fldChar w:fldCharType="separate"/>
          </w:r>
          <w:r>
            <w:t>61</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_Toc23846 </w:instrText>
          </w:r>
          <w:r>
            <w:rPr>
              <w:bCs/>
              <w:lang w:val="zh-CN"/>
            </w:rPr>
            <w:fldChar w:fldCharType="separate"/>
          </w:r>
          <w:r>
            <w:rPr>
              <w:rFonts w:hint="eastAsia"/>
            </w:rPr>
            <w:t>（一）项目发行地方政府专项债券募集资金计划</w:t>
          </w:r>
          <w:r>
            <w:tab/>
          </w:r>
          <w:r>
            <w:fldChar w:fldCharType="begin"/>
          </w:r>
          <w:r>
            <w:instrText xml:space="preserve"> PAGEREF _Toc23846 \h </w:instrText>
          </w:r>
          <w:r>
            <w:fldChar w:fldCharType="separate"/>
          </w:r>
          <w:r>
            <w:t>61</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_Toc11873 </w:instrText>
          </w:r>
          <w:r>
            <w:rPr>
              <w:bCs/>
              <w:lang w:val="zh-CN"/>
            </w:rPr>
            <w:fldChar w:fldCharType="separate"/>
          </w:r>
          <w:r>
            <w:rPr>
              <w:rFonts w:hint="eastAsia"/>
            </w:rPr>
            <w:t>1.发行依据</w:t>
          </w:r>
          <w:r>
            <w:tab/>
          </w:r>
          <w:r>
            <w:fldChar w:fldCharType="begin"/>
          </w:r>
          <w:r>
            <w:instrText xml:space="preserve"> PAGEREF _Toc11873 \h </w:instrText>
          </w:r>
          <w:r>
            <w:fldChar w:fldCharType="separate"/>
          </w:r>
          <w:r>
            <w:t>61</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_Toc19294 </w:instrText>
          </w:r>
          <w:r>
            <w:rPr>
              <w:bCs/>
              <w:lang w:val="zh-CN"/>
            </w:rPr>
            <w:fldChar w:fldCharType="separate"/>
          </w:r>
          <w:r>
            <w:rPr>
              <w:rFonts w:hint="eastAsia"/>
            </w:rPr>
            <w:t>2.发行计划</w:t>
          </w:r>
          <w:r>
            <w:tab/>
          </w:r>
          <w:r>
            <w:fldChar w:fldCharType="begin"/>
          </w:r>
          <w:r>
            <w:instrText xml:space="preserve"> PAGEREF _Toc19294 \h </w:instrText>
          </w:r>
          <w:r>
            <w:fldChar w:fldCharType="separate"/>
          </w:r>
          <w:r>
            <w:t>62</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_Toc11 </w:instrText>
          </w:r>
          <w:r>
            <w:rPr>
              <w:bCs/>
              <w:lang w:val="zh-CN"/>
            </w:rPr>
            <w:fldChar w:fldCharType="separate"/>
          </w:r>
          <w:r>
            <w:rPr>
              <w:rFonts w:hint="eastAsia"/>
            </w:rPr>
            <w:t>3.发行场所</w:t>
          </w:r>
          <w:r>
            <w:tab/>
          </w:r>
          <w:r>
            <w:fldChar w:fldCharType="begin"/>
          </w:r>
          <w:r>
            <w:instrText xml:space="preserve"> PAGEREF _Toc11 \h </w:instrText>
          </w:r>
          <w:r>
            <w:fldChar w:fldCharType="separate"/>
          </w:r>
          <w:r>
            <w:t>62</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_Toc1447 </w:instrText>
          </w:r>
          <w:r>
            <w:rPr>
              <w:bCs/>
              <w:lang w:val="zh-CN"/>
            </w:rPr>
            <w:fldChar w:fldCharType="separate"/>
          </w:r>
          <w:r>
            <w:rPr>
              <w:rFonts w:hint="eastAsia"/>
            </w:rPr>
            <w:t>4.品种和数量</w:t>
          </w:r>
          <w:r>
            <w:tab/>
          </w:r>
          <w:r>
            <w:fldChar w:fldCharType="begin"/>
          </w:r>
          <w:r>
            <w:instrText xml:space="preserve"> PAGEREF _Toc1447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_Toc1254 </w:instrText>
          </w:r>
          <w:r>
            <w:rPr>
              <w:bCs/>
              <w:lang w:val="zh-CN"/>
            </w:rPr>
            <w:fldChar w:fldCharType="separate"/>
          </w:r>
          <w:r>
            <w:rPr>
              <w:rFonts w:hint="eastAsia" w:cs="仿宋"/>
            </w:rPr>
            <w:t>5.时间安排</w:t>
          </w:r>
          <w:r>
            <w:tab/>
          </w:r>
          <w:r>
            <w:fldChar w:fldCharType="begin"/>
          </w:r>
          <w:r>
            <w:instrText xml:space="preserve"> PAGEREF _Toc1254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_Toc24672 </w:instrText>
          </w:r>
          <w:r>
            <w:rPr>
              <w:bCs/>
              <w:lang w:val="zh-CN"/>
            </w:rPr>
            <w:fldChar w:fldCharType="separate"/>
          </w:r>
          <w:r>
            <w:rPr>
              <w:rFonts w:hint="eastAsia"/>
            </w:rPr>
            <w:t>6.上市安排</w:t>
          </w:r>
          <w:r>
            <w:tab/>
          </w:r>
          <w:r>
            <w:fldChar w:fldCharType="begin"/>
          </w:r>
          <w:r>
            <w:instrText xml:space="preserve"> PAGEREF _Toc24672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_Toc26116 </w:instrText>
          </w:r>
          <w:r>
            <w:rPr>
              <w:bCs/>
              <w:lang w:val="zh-CN"/>
            </w:rPr>
            <w:fldChar w:fldCharType="separate"/>
          </w:r>
          <w:r>
            <w:rPr>
              <w:rFonts w:hint="eastAsia"/>
            </w:rPr>
            <w:t>7.兑付安排</w:t>
          </w:r>
          <w:r>
            <w:tab/>
          </w:r>
          <w:r>
            <w:fldChar w:fldCharType="begin"/>
          </w:r>
          <w:r>
            <w:instrText xml:space="preserve"> PAGEREF _Toc26116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_Toc25046 </w:instrText>
          </w:r>
          <w:r>
            <w:rPr>
              <w:bCs/>
              <w:lang w:val="zh-CN"/>
            </w:rPr>
            <w:fldChar w:fldCharType="separate"/>
          </w:r>
          <w:r>
            <w:rPr>
              <w:rFonts w:hint="eastAsia"/>
            </w:rPr>
            <w:t>8.发行费</w:t>
          </w:r>
          <w:r>
            <w:tab/>
          </w:r>
          <w:r>
            <w:fldChar w:fldCharType="begin"/>
          </w:r>
          <w:r>
            <w:instrText xml:space="preserve"> PAGEREF _Toc25046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_Toc2388 </w:instrText>
          </w:r>
          <w:r>
            <w:rPr>
              <w:bCs/>
              <w:lang w:val="zh-CN"/>
            </w:rPr>
            <w:fldChar w:fldCharType="separate"/>
          </w:r>
          <w:r>
            <w:rPr>
              <w:rFonts w:hint="eastAsia"/>
            </w:rPr>
            <w:t>9.招投标</w:t>
          </w:r>
          <w:r>
            <w:tab/>
          </w:r>
          <w:r>
            <w:fldChar w:fldCharType="begin"/>
          </w:r>
          <w:r>
            <w:instrText xml:space="preserve"> PAGEREF _Toc2388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_Toc15981 </w:instrText>
          </w:r>
          <w:r>
            <w:rPr>
              <w:bCs/>
              <w:lang w:val="zh-CN"/>
            </w:rPr>
            <w:fldChar w:fldCharType="separate"/>
          </w:r>
          <w:r>
            <w:rPr>
              <w:rFonts w:hint="eastAsia"/>
            </w:rPr>
            <w:t>10.分销</w:t>
          </w:r>
          <w:r>
            <w:tab/>
          </w:r>
          <w:r>
            <w:fldChar w:fldCharType="begin"/>
          </w:r>
          <w:r>
            <w:instrText xml:space="preserve"> PAGEREF _Toc15981 \h </w:instrText>
          </w:r>
          <w:r>
            <w:fldChar w:fldCharType="separate"/>
          </w:r>
          <w:r>
            <w:t>63</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_Toc26394 </w:instrText>
          </w:r>
          <w:r>
            <w:rPr>
              <w:bCs/>
              <w:lang w:val="zh-CN"/>
            </w:rPr>
            <w:fldChar w:fldCharType="separate"/>
          </w:r>
          <w:r>
            <w:rPr>
              <w:rFonts w:hint="eastAsia"/>
            </w:rPr>
            <w:t>11.发行款缴纳</w:t>
          </w:r>
          <w:r>
            <w:tab/>
          </w:r>
          <w:r>
            <w:fldChar w:fldCharType="begin"/>
          </w:r>
          <w:r>
            <w:instrText xml:space="preserve"> PAGEREF _Toc26394 \h </w:instrText>
          </w:r>
          <w:r>
            <w:fldChar w:fldCharType="separate"/>
          </w:r>
          <w:r>
            <w:t>63</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_Toc29981 </w:instrText>
          </w:r>
          <w:r>
            <w:rPr>
              <w:bCs/>
              <w:lang w:val="zh-CN"/>
            </w:rPr>
            <w:fldChar w:fldCharType="separate"/>
          </w:r>
          <w:r>
            <w:rPr>
              <w:rFonts w:hint="eastAsia"/>
            </w:rPr>
            <w:t>（二）专项债券投资者保护措施</w:t>
          </w:r>
          <w:r>
            <w:tab/>
          </w:r>
          <w:r>
            <w:fldChar w:fldCharType="begin"/>
          </w:r>
          <w:r>
            <w:instrText xml:space="preserve"> PAGEREF _Toc29981 \h </w:instrText>
          </w:r>
          <w:r>
            <w:fldChar w:fldCharType="separate"/>
          </w:r>
          <w:r>
            <w:t>63</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_Toc21284 </w:instrText>
          </w:r>
          <w:r>
            <w:rPr>
              <w:bCs/>
              <w:lang w:val="zh-CN"/>
            </w:rPr>
            <w:fldChar w:fldCharType="separate"/>
          </w:r>
          <w:r>
            <w:rPr>
              <w:rFonts w:hint="eastAsia"/>
            </w:rPr>
            <w:t>六、潜在影响项目收益和融资平衡结果的风险评估</w:t>
          </w:r>
          <w:r>
            <w:tab/>
          </w:r>
          <w:r>
            <w:fldChar w:fldCharType="begin"/>
          </w:r>
          <w:r>
            <w:instrText xml:space="preserve"> PAGEREF _Toc21284 \h </w:instrText>
          </w:r>
          <w:r>
            <w:fldChar w:fldCharType="separate"/>
          </w:r>
          <w:r>
            <w:t>65</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_Toc75 </w:instrText>
          </w:r>
          <w:r>
            <w:rPr>
              <w:bCs/>
              <w:lang w:val="zh-CN"/>
            </w:rPr>
            <w:fldChar w:fldCharType="separate"/>
          </w:r>
          <w:r>
            <w:rPr>
              <w:rFonts w:hint="eastAsia"/>
            </w:rPr>
            <w:t>（一）影响项目施工进度或正常运营的风险及控制措施</w:t>
          </w:r>
          <w:r>
            <w:tab/>
          </w:r>
          <w:r>
            <w:fldChar w:fldCharType="begin"/>
          </w:r>
          <w:r>
            <w:instrText xml:space="preserve"> PAGEREF _Toc75 \h </w:instrText>
          </w:r>
          <w:r>
            <w:fldChar w:fldCharType="separate"/>
          </w:r>
          <w:r>
            <w:t>65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_Toc17617 </w:instrText>
          </w:r>
          <w:r>
            <w:rPr>
              <w:bCs/>
              <w:lang w:val="zh-CN"/>
            </w:rPr>
            <w:fldChar w:fldCharType="separate"/>
          </w:r>
          <w:r>
            <w:rPr>
              <w:rFonts w:hint="eastAsia"/>
            </w:rPr>
            <w:t>1.自然环境变化等不可抗力风险</w:t>
          </w:r>
          <w:r>
            <w:tab/>
          </w:r>
          <w:r>
            <w:fldChar w:fldCharType="begin"/>
          </w:r>
          <w:r>
            <w:instrText xml:space="preserve"> PAGEREF _Toc17617 \h </w:instrText>
          </w:r>
          <w:r>
            <w:fldChar w:fldCharType="separate"/>
          </w:r>
          <w:r>
            <w:t>65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_Toc28223 </w:instrText>
          </w:r>
          <w:r>
            <w:rPr>
              <w:bCs/>
              <w:lang w:val="zh-CN"/>
            </w:rPr>
            <w:fldChar w:fldCharType="separate"/>
          </w:r>
          <w:r>
            <w:rPr>
              <w:rFonts w:hint="eastAsia"/>
            </w:rPr>
            <w:t>2.来源于施工方的风险因素</w:t>
          </w:r>
          <w:r>
            <w:tab/>
          </w:r>
          <w:r>
            <w:fldChar w:fldCharType="begin"/>
          </w:r>
          <w:r>
            <w:instrText xml:space="preserve"> PAGEREF _Toc28223 \h </w:instrText>
          </w:r>
          <w:r>
            <w:fldChar w:fldCharType="separate"/>
          </w:r>
          <w:r>
            <w:t>65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_Toc15393 </w:instrText>
          </w:r>
          <w:r>
            <w:rPr>
              <w:bCs/>
              <w:lang w:val="zh-CN"/>
            </w:rPr>
            <w:fldChar w:fldCharType="separate"/>
          </w:r>
          <w:r>
            <w:rPr>
              <w:rFonts w:hint="eastAsia"/>
            </w:rPr>
            <w:t>3.来源于设计单位的风险因素</w:t>
          </w:r>
          <w:r>
            <w:tab/>
          </w:r>
          <w:r>
            <w:fldChar w:fldCharType="begin"/>
          </w:r>
          <w:r>
            <w:instrText xml:space="preserve"> PAGEREF _Toc15393 \h </w:instrText>
          </w:r>
          <w:r>
            <w:fldChar w:fldCharType="separate"/>
          </w:r>
          <w:r>
            <w:t>65</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_Toc9838 </w:instrText>
          </w:r>
          <w:r>
            <w:rPr>
              <w:bCs/>
              <w:lang w:val="zh-CN"/>
            </w:rPr>
            <w:fldChar w:fldCharType="separate"/>
          </w:r>
          <w:r>
            <w:rPr>
              <w:rFonts w:hint="eastAsia"/>
            </w:rPr>
            <w:t>4.来源于供应商的风险因素</w:t>
          </w:r>
          <w:r>
            <w:tab/>
          </w:r>
          <w:r>
            <w:fldChar w:fldCharType="begin"/>
          </w:r>
          <w:r>
            <w:instrText xml:space="preserve"> PAGEREF _Toc9838 \h </w:instrText>
          </w:r>
          <w:r>
            <w:fldChar w:fldCharType="separate"/>
          </w:r>
          <w:r>
            <w:t>66</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_Toc5214 </w:instrText>
          </w:r>
          <w:r>
            <w:rPr>
              <w:bCs/>
              <w:lang w:val="zh-CN"/>
            </w:rPr>
            <w:fldChar w:fldCharType="separate"/>
          </w:r>
          <w:r>
            <w:rPr>
              <w:rFonts w:hint="eastAsia"/>
            </w:rPr>
            <w:t>5.资金落实风险</w:t>
          </w:r>
          <w:r>
            <w:tab/>
          </w:r>
          <w:r>
            <w:fldChar w:fldCharType="begin"/>
          </w:r>
          <w:r>
            <w:instrText xml:space="preserve"> PAGEREF _Toc5214 \h </w:instrText>
          </w:r>
          <w:r>
            <w:fldChar w:fldCharType="separate"/>
          </w:r>
          <w:r>
            <w:t>66</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_Toc2548 </w:instrText>
          </w:r>
          <w:r>
            <w:rPr>
              <w:bCs/>
              <w:lang w:val="zh-CN"/>
            </w:rPr>
            <w:fldChar w:fldCharType="separate"/>
          </w:r>
          <w:r>
            <w:rPr>
              <w:rFonts w:hint="eastAsia"/>
            </w:rPr>
            <w:t>6.工程事故风险</w:t>
          </w:r>
          <w:r>
            <w:tab/>
          </w:r>
          <w:r>
            <w:fldChar w:fldCharType="begin"/>
          </w:r>
          <w:r>
            <w:instrText xml:space="preserve"> PAGEREF _Toc2548 \h </w:instrText>
          </w:r>
          <w:r>
            <w:fldChar w:fldCharType="separate"/>
          </w:r>
          <w:r>
            <w:t>66</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_Toc22834 </w:instrText>
          </w:r>
          <w:r>
            <w:rPr>
              <w:bCs/>
              <w:lang w:val="zh-CN"/>
            </w:rPr>
            <w:fldChar w:fldCharType="separate"/>
          </w:r>
          <w:r>
            <w:rPr>
              <w:rFonts w:hint="eastAsia"/>
            </w:rPr>
            <w:t>（二）影响项目收益的风险及控制措施</w:t>
          </w:r>
          <w:r>
            <w:tab/>
          </w:r>
          <w:r>
            <w:fldChar w:fldCharType="begin"/>
          </w:r>
          <w:r>
            <w:instrText xml:space="preserve"> PAGEREF _Toc22834 \h </w:instrText>
          </w:r>
          <w:r>
            <w:fldChar w:fldCharType="separate"/>
          </w:r>
          <w:r>
            <w:t>67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_Toc20715 </w:instrText>
          </w:r>
          <w:r>
            <w:rPr>
              <w:bCs/>
              <w:lang w:val="zh-CN"/>
            </w:rPr>
            <w:fldChar w:fldCharType="separate"/>
          </w:r>
          <w:r>
            <w:rPr>
              <w:rFonts w:hint="eastAsia"/>
            </w:rPr>
            <w:t>1.经营风险</w:t>
          </w:r>
          <w:r>
            <w:tab/>
          </w:r>
          <w:r>
            <w:fldChar w:fldCharType="begin"/>
          </w:r>
          <w:r>
            <w:instrText xml:space="preserve"> PAGEREF _Toc20715 \h </w:instrText>
          </w:r>
          <w:r>
            <w:fldChar w:fldCharType="separate"/>
          </w:r>
          <w:r>
            <w:t>67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_Toc6421 </w:instrText>
          </w:r>
          <w:r>
            <w:rPr>
              <w:bCs/>
              <w:lang w:val="zh-CN"/>
            </w:rPr>
            <w:fldChar w:fldCharType="separate"/>
          </w:r>
          <w:r>
            <w:rPr>
              <w:rFonts w:hint="eastAsia"/>
            </w:rPr>
            <w:t>2.财务风险</w:t>
          </w:r>
          <w:r>
            <w:tab/>
          </w:r>
          <w:r>
            <w:fldChar w:fldCharType="begin"/>
          </w:r>
          <w:r>
            <w:instrText xml:space="preserve"> PAGEREF _Toc6421 \h </w:instrText>
          </w:r>
          <w:r>
            <w:fldChar w:fldCharType="separate"/>
          </w:r>
          <w:r>
            <w:t>67</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_Toc21388 </w:instrText>
          </w:r>
          <w:r>
            <w:rPr>
              <w:bCs/>
              <w:lang w:val="zh-CN"/>
            </w:rPr>
            <w:fldChar w:fldCharType="separate"/>
          </w:r>
          <w:r>
            <w:rPr>
              <w:rFonts w:hint="eastAsia"/>
            </w:rPr>
            <w:t>（三）影响融资平衡结果的风险及控制措施</w:t>
          </w:r>
          <w:r>
            <w:tab/>
          </w:r>
          <w:r>
            <w:fldChar w:fldCharType="begin"/>
          </w:r>
          <w:r>
            <w:instrText xml:space="preserve"> PAGEREF _Toc21388 \h </w:instrText>
          </w:r>
          <w:r>
            <w:fldChar w:fldCharType="separate"/>
          </w:r>
          <w:r>
            <w:t>67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_Toc18551 </w:instrText>
          </w:r>
          <w:r>
            <w:rPr>
              <w:bCs/>
              <w:lang w:val="zh-CN"/>
            </w:rPr>
            <w:fldChar w:fldCharType="separate"/>
          </w:r>
          <w:r>
            <w:rPr>
              <w:rFonts w:hint="eastAsia"/>
            </w:rPr>
            <w:t>1.投资测算不准确风险</w:t>
          </w:r>
          <w:r>
            <w:tab/>
          </w:r>
          <w:r>
            <w:fldChar w:fldCharType="begin"/>
          </w:r>
          <w:r>
            <w:instrText xml:space="preserve"> PAGEREF _Toc18551 \h </w:instrText>
          </w:r>
          <w:r>
            <w:fldChar w:fldCharType="separate"/>
          </w:r>
          <w:r>
            <w:t>67</w:t>
          </w:r>
          <w:r>
            <w:fldChar w:fldCharType="end"/>
          </w:r>
          <w:r>
            <w:rPr>
              <w:bCs/>
              <w:lang w:val="zh-CN"/>
            </w:rPr>
            <w:fldChar w:fldCharType="end"/>
          </w:r>
        </w:p>
        <w:p>
          <w:pPr>
            <w:pStyle w:val="18"/>
            <w:tabs>
              <w:tab w:val="right" w:leader="dot" w:pos="8306"/>
            </w:tabs>
          </w:pPr>
          <w:r>
            <w:rPr>
              <w:bCs/>
              <w:lang w:val="zh-CN"/>
            </w:rPr>
            <w:fldChar w:fldCharType="begin"/>
          </w:r>
          <w:r>
            <w:rPr>
              <w:bCs/>
              <w:lang w:val="zh-CN"/>
            </w:rPr>
            <w:instrText xml:space="preserve"> HYPERLINK \l _Toc9527 </w:instrText>
          </w:r>
          <w:r>
            <w:rPr>
              <w:bCs/>
              <w:lang w:val="zh-CN"/>
            </w:rPr>
            <w:fldChar w:fldCharType="separate"/>
          </w:r>
          <w:r>
            <w:rPr>
              <w:rFonts w:hint="eastAsia"/>
            </w:rPr>
            <w:t>2.利率波动风险</w:t>
          </w:r>
          <w:r>
            <w:tab/>
          </w:r>
          <w:r>
            <w:fldChar w:fldCharType="begin"/>
          </w:r>
          <w:r>
            <w:instrText xml:space="preserve"> PAGEREF _Toc9527 \h </w:instrText>
          </w:r>
          <w:r>
            <w:fldChar w:fldCharType="separate"/>
          </w:r>
          <w:r>
            <w:t>68</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_Toc8993 </w:instrText>
          </w:r>
          <w:r>
            <w:rPr>
              <w:bCs/>
              <w:lang w:val="zh-CN"/>
            </w:rPr>
            <w:fldChar w:fldCharType="separate"/>
          </w:r>
          <w:r>
            <w:rPr>
              <w:rFonts w:hint="eastAsia" w:cs="仿宋"/>
            </w:rPr>
            <w:t>七、信息披露计划</w:t>
          </w:r>
          <w:r>
            <w:tab/>
          </w:r>
          <w:r>
            <w:fldChar w:fldCharType="begin"/>
          </w:r>
          <w:r>
            <w:instrText xml:space="preserve"> PAGEREF _Toc8993 \h </w:instrText>
          </w:r>
          <w:r>
            <w:fldChar w:fldCharType="separate"/>
          </w:r>
          <w:r>
            <w:t>69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_Toc22741 </w:instrText>
          </w:r>
          <w:r>
            <w:rPr>
              <w:bCs/>
              <w:lang w:val="zh-CN"/>
            </w:rPr>
            <w:fldChar w:fldCharType="separate"/>
          </w:r>
          <w:r>
            <w:rPr>
              <w:rFonts w:hint="eastAsia"/>
            </w:rPr>
            <w:t>（一）每期债券发行日五个工作日之前披露</w:t>
          </w:r>
          <w:r>
            <w:tab/>
          </w:r>
          <w:r>
            <w:fldChar w:fldCharType="begin"/>
          </w:r>
          <w:r>
            <w:instrText xml:space="preserve"> PAGEREF _Toc22741 \h </w:instrText>
          </w:r>
          <w:r>
            <w:fldChar w:fldCharType="separate"/>
          </w:r>
          <w:r>
            <w:t>69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_Toc9620 </w:instrText>
          </w:r>
          <w:r>
            <w:rPr>
              <w:bCs/>
              <w:lang w:val="zh-CN"/>
            </w:rPr>
            <w:fldChar w:fldCharType="separate"/>
          </w:r>
          <w:r>
            <w:rPr>
              <w:rFonts w:hint="eastAsia"/>
            </w:rPr>
            <w:t>（二）每期债券发行结束当日披露</w:t>
          </w:r>
          <w:r>
            <w:tab/>
          </w:r>
          <w:r>
            <w:fldChar w:fldCharType="begin"/>
          </w:r>
          <w:r>
            <w:instrText xml:space="preserve"> PAGEREF _Toc9620 \h </w:instrText>
          </w:r>
          <w:r>
            <w:fldChar w:fldCharType="separate"/>
          </w:r>
          <w:r>
            <w:t>70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_Toc16689 </w:instrText>
          </w:r>
          <w:r>
            <w:rPr>
              <w:bCs/>
              <w:lang w:val="zh-CN"/>
            </w:rPr>
            <w:fldChar w:fldCharType="separate"/>
          </w:r>
          <w:r>
            <w:rPr>
              <w:rFonts w:hint="eastAsia"/>
            </w:rPr>
            <w:t>（三）每期债券每个付息日五个工作日之前披露</w:t>
          </w:r>
          <w:r>
            <w:tab/>
          </w:r>
          <w:r>
            <w:fldChar w:fldCharType="begin"/>
          </w:r>
          <w:r>
            <w:instrText xml:space="preserve"> PAGEREF _Toc16689 \h </w:instrText>
          </w:r>
          <w:r>
            <w:fldChar w:fldCharType="separate"/>
          </w:r>
          <w:r>
            <w:t>70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_Toc18039 </w:instrText>
          </w:r>
          <w:r>
            <w:rPr>
              <w:bCs/>
              <w:lang w:val="zh-CN"/>
            </w:rPr>
            <w:fldChar w:fldCharType="separate"/>
          </w:r>
          <w:r>
            <w:rPr>
              <w:rFonts w:hint="eastAsia"/>
            </w:rPr>
            <w:t>（四）每期债券兑付日五个工作日之前披露</w:t>
          </w:r>
          <w:r>
            <w:tab/>
          </w:r>
          <w:r>
            <w:fldChar w:fldCharType="begin"/>
          </w:r>
          <w:r>
            <w:instrText xml:space="preserve"> PAGEREF _Toc18039 \h </w:instrText>
          </w:r>
          <w:r>
            <w:fldChar w:fldCharType="separate"/>
          </w:r>
          <w:r>
            <w:t>70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_Toc21823 </w:instrText>
          </w:r>
          <w:r>
            <w:rPr>
              <w:bCs/>
              <w:lang w:val="zh-CN"/>
            </w:rPr>
            <w:fldChar w:fldCharType="separate"/>
          </w:r>
          <w:r>
            <w:rPr>
              <w:rFonts w:hint="eastAsia"/>
            </w:rPr>
            <w:t>（五）每期债券存续期内定期披露内容</w:t>
          </w:r>
          <w:r>
            <w:tab/>
          </w:r>
          <w:r>
            <w:fldChar w:fldCharType="begin"/>
          </w:r>
          <w:r>
            <w:instrText xml:space="preserve"> PAGEREF _Toc21823 \h </w:instrText>
          </w:r>
          <w:r>
            <w:fldChar w:fldCharType="separate"/>
          </w:r>
          <w:r>
            <w:t>70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_Toc6221 </w:instrText>
          </w:r>
          <w:r>
            <w:rPr>
              <w:bCs/>
              <w:lang w:val="zh-CN"/>
            </w:rPr>
            <w:fldChar w:fldCharType="separate"/>
          </w:r>
          <w:r>
            <w:rPr>
              <w:rFonts w:hint="eastAsia"/>
            </w:rPr>
            <w:t>（六）每期债券存续期内随时披露内容</w:t>
          </w:r>
          <w:r>
            <w:tab/>
          </w:r>
          <w:r>
            <w:fldChar w:fldCharType="begin"/>
          </w:r>
          <w:r>
            <w:instrText xml:space="preserve"> PAGEREF _Toc6221 \h </w:instrText>
          </w:r>
          <w:r>
            <w:fldChar w:fldCharType="separate"/>
          </w:r>
          <w:r>
            <w:t>71</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_Toc24419 </w:instrText>
          </w:r>
          <w:r>
            <w:rPr>
              <w:bCs/>
              <w:lang w:val="zh-CN"/>
            </w:rPr>
            <w:fldChar w:fldCharType="separate"/>
          </w:r>
          <w:r>
            <w:rPr>
              <w:rFonts w:hint="eastAsia"/>
            </w:rPr>
            <w:t>八、还款保障措施</w:t>
          </w:r>
          <w:r>
            <w:tab/>
          </w:r>
          <w:r>
            <w:fldChar w:fldCharType="begin"/>
          </w:r>
          <w:r>
            <w:instrText xml:space="preserve"> PAGEREF _Toc24419 \h </w:instrText>
          </w:r>
          <w:r>
            <w:fldChar w:fldCharType="separate"/>
          </w:r>
          <w:r>
            <w:t>72</w:t>
          </w:r>
          <w:r>
            <w:fldChar w:fldCharType="end"/>
          </w:r>
          <w:r>
            <w:rPr>
              <w:bCs/>
              <w:lang w:val="zh-CN"/>
            </w:rPr>
            <w:fldChar w:fldCharType="end"/>
          </w:r>
        </w:p>
        <w:p>
          <w:pPr>
            <w:pStyle w:val="4"/>
            <w:tabs>
              <w:tab w:val="right" w:leader="dot" w:pos="8306"/>
              <w:tab w:val="clear" w:pos="540"/>
              <w:tab w:val="clear" w:pos="8296"/>
            </w:tabs>
          </w:pPr>
          <w:r>
            <w:rPr>
              <w:bCs/>
              <w:lang w:val="zh-CN"/>
            </w:rPr>
            <w:fldChar w:fldCharType="begin"/>
          </w:r>
          <w:r>
            <w:rPr>
              <w:bCs/>
              <w:lang w:val="zh-CN"/>
            </w:rPr>
            <w:instrText xml:space="preserve"> HYPERLINK \l _Toc32269 </w:instrText>
          </w:r>
          <w:r>
            <w:rPr>
              <w:bCs/>
              <w:lang w:val="zh-CN"/>
            </w:rPr>
            <w:fldChar w:fldCharType="separate"/>
          </w:r>
          <w:r>
            <w:rPr>
              <w:rFonts w:hint="eastAsia" w:cs="仿宋"/>
            </w:rPr>
            <w:t>九、附件</w:t>
          </w:r>
          <w:r>
            <w:tab/>
          </w:r>
          <w:r>
            <w:fldChar w:fldCharType="begin"/>
          </w:r>
          <w:r>
            <w:instrText xml:space="preserve"> PAGEREF _Toc32269 \h </w:instrText>
          </w:r>
          <w:r>
            <w:fldChar w:fldCharType="separate"/>
          </w:r>
          <w:r>
            <w:t>73</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_Toc6206 </w:instrText>
          </w:r>
          <w:r>
            <w:rPr>
              <w:bCs/>
              <w:lang w:val="zh-CN"/>
            </w:rPr>
            <w:fldChar w:fldCharType="separate"/>
          </w:r>
          <w:r>
            <w:rPr>
              <w:rFonts w:hint="eastAsia"/>
            </w:rPr>
            <w:t>附件</w:t>
          </w:r>
          <w:r>
            <w:rPr>
              <w:rFonts w:hint="eastAsia"/>
              <w:lang w:val="en-US" w:eastAsia="zh-CN"/>
            </w:rPr>
            <w:t>1</w:t>
          </w:r>
          <w:r>
            <w:rPr>
              <w:rFonts w:hint="eastAsia"/>
            </w:rPr>
            <w:t>：成都盛丰邦瑞投资有限公司营业执照</w:t>
          </w:r>
          <w:r>
            <w:tab/>
          </w:r>
          <w:r>
            <w:fldChar w:fldCharType="begin"/>
          </w:r>
          <w:r>
            <w:instrText xml:space="preserve"> PAGEREF _Toc6206 \h </w:instrText>
          </w:r>
          <w:r>
            <w:fldChar w:fldCharType="separate"/>
          </w:r>
          <w:r>
            <w:t>74</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_Toc12628 </w:instrText>
          </w:r>
          <w:r>
            <w:rPr>
              <w:bCs/>
              <w:lang w:val="zh-CN"/>
            </w:rPr>
            <w:fldChar w:fldCharType="separate"/>
          </w:r>
          <w:r>
            <w:rPr>
              <w:rFonts w:hint="eastAsia" w:cs="仿宋"/>
            </w:rPr>
            <w:t>附件</w:t>
          </w:r>
          <w:r>
            <w:rPr>
              <w:rFonts w:hint="eastAsia" w:cs="仿宋"/>
              <w:lang w:val="en-US" w:eastAsia="zh-CN"/>
            </w:rPr>
            <w:t>2</w:t>
          </w:r>
          <w:r>
            <w:rPr>
              <w:rFonts w:hint="eastAsia" w:cs="仿宋"/>
            </w:rPr>
            <w:t>：</w:t>
          </w:r>
          <w:r>
            <w:rPr>
              <w:rFonts w:hint="eastAsia" w:cs="仿宋"/>
              <w:lang w:val="en-US" w:eastAsia="zh-CN"/>
            </w:rPr>
            <w:t>四川省</w:t>
          </w:r>
          <w:r>
            <w:rPr>
              <w:rFonts w:hint="eastAsia" w:cs="仿宋"/>
            </w:rPr>
            <w:t>固定资产</w:t>
          </w:r>
          <w:r>
            <w:rPr>
              <w:rFonts w:hint="eastAsia" w:cs="仿宋"/>
              <w:lang w:val="en-US" w:eastAsia="zh-CN"/>
            </w:rPr>
            <w:t>投资项目</w:t>
          </w:r>
          <w:r>
            <w:rPr>
              <w:rFonts w:hint="eastAsia" w:cs="仿宋"/>
            </w:rPr>
            <w:t>备案表</w:t>
          </w:r>
          <w:r>
            <w:tab/>
          </w:r>
          <w:r>
            <w:fldChar w:fldCharType="begin"/>
          </w:r>
          <w:r>
            <w:instrText xml:space="preserve"> PAGEREF _Toc12628 \h </w:instrText>
          </w:r>
          <w:r>
            <w:fldChar w:fldCharType="separate"/>
          </w:r>
          <w:r>
            <w:t>75</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_Toc4229 </w:instrText>
          </w:r>
          <w:r>
            <w:rPr>
              <w:bCs/>
              <w:lang w:val="zh-CN"/>
            </w:rPr>
            <w:fldChar w:fldCharType="separate"/>
          </w:r>
          <w:r>
            <w:rPr>
              <w:rFonts w:hint="eastAsia"/>
              <w:lang w:val="en-US" w:eastAsia="zh-CN"/>
            </w:rPr>
            <w:t>附件3：用地预审的复函</w:t>
          </w:r>
          <w:r>
            <w:tab/>
          </w:r>
          <w:r>
            <w:fldChar w:fldCharType="begin"/>
          </w:r>
          <w:r>
            <w:instrText xml:space="preserve"> PAGEREF _Toc4229 \h </w:instrText>
          </w:r>
          <w:r>
            <w:fldChar w:fldCharType="separate"/>
          </w:r>
          <w:r>
            <w:t>77</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_Toc3910 </w:instrText>
          </w:r>
          <w:r>
            <w:rPr>
              <w:bCs/>
              <w:lang w:val="zh-CN"/>
            </w:rPr>
            <w:fldChar w:fldCharType="separate"/>
          </w:r>
          <w:r>
            <w:rPr>
              <w:rFonts w:hint="eastAsia"/>
            </w:rPr>
            <w:t>附件</w:t>
          </w:r>
          <w:r>
            <w:rPr>
              <w:rFonts w:hint="eastAsia"/>
              <w:lang w:val="en-US" w:eastAsia="zh-CN"/>
            </w:rPr>
            <w:t>4：关于建设项目环境影响评价手续办理情况的说明</w:t>
          </w:r>
          <w:r>
            <w:tab/>
          </w:r>
          <w:r>
            <w:fldChar w:fldCharType="begin"/>
          </w:r>
          <w:r>
            <w:instrText xml:space="preserve"> PAGEREF _Toc3910 \h </w:instrText>
          </w:r>
          <w:r>
            <w:fldChar w:fldCharType="separate"/>
          </w:r>
          <w:r>
            <w:t>78</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_Toc10992 </w:instrText>
          </w:r>
          <w:r>
            <w:rPr>
              <w:bCs/>
              <w:lang w:val="zh-CN"/>
            </w:rPr>
            <w:fldChar w:fldCharType="separate"/>
          </w:r>
          <w:r>
            <w:rPr>
              <w:rFonts w:hint="eastAsia"/>
            </w:rPr>
            <w:t>附件</w:t>
          </w:r>
          <w:r>
            <w:rPr>
              <w:rFonts w:hint="eastAsia"/>
              <w:lang w:val="en-US" w:eastAsia="zh-CN"/>
            </w:rPr>
            <w:t>5</w:t>
          </w:r>
          <w:r>
            <w:rPr>
              <w:rFonts w:hint="eastAsia"/>
            </w:rPr>
            <w:t>：资本金落实来源的说明</w:t>
          </w:r>
          <w:r>
            <w:tab/>
          </w:r>
          <w:r>
            <w:fldChar w:fldCharType="begin"/>
          </w:r>
          <w:r>
            <w:instrText xml:space="preserve"> PAGEREF _Toc10992 \h </w:instrText>
          </w:r>
          <w:r>
            <w:fldChar w:fldCharType="separate"/>
          </w:r>
          <w:r>
            <w:t>79</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_Toc2398 </w:instrText>
          </w:r>
          <w:r>
            <w:rPr>
              <w:bCs/>
              <w:lang w:val="zh-CN"/>
            </w:rPr>
            <w:fldChar w:fldCharType="separate"/>
          </w:r>
          <w:r>
            <w:rPr>
              <w:rFonts w:hint="eastAsia"/>
              <w:lang w:val="en-US" w:eastAsia="zh-CN"/>
            </w:rPr>
            <w:t>附件6：财政补贴收入的说明</w:t>
          </w:r>
          <w:r>
            <w:tab/>
          </w:r>
          <w:r>
            <w:fldChar w:fldCharType="begin"/>
          </w:r>
          <w:r>
            <w:instrText xml:space="preserve"> PAGEREF _Toc2398 \h </w:instrText>
          </w:r>
          <w:r>
            <w:fldChar w:fldCharType="separate"/>
          </w:r>
          <w:r>
            <w:t>80</w:t>
          </w:r>
          <w:r>
            <w:fldChar w:fldCharType="end"/>
          </w:r>
          <w:r>
            <w:rPr>
              <w:bCs/>
              <w:lang w:val="zh-CN"/>
            </w:rPr>
            <w:fldChar w:fldCharType="end"/>
          </w:r>
        </w:p>
        <w:p>
          <w:pPr>
            <w:pStyle w:val="27"/>
            <w:tabs>
              <w:tab w:val="right" w:leader="dot" w:pos="8306"/>
            </w:tabs>
          </w:pPr>
          <w:r>
            <w:rPr>
              <w:bCs/>
              <w:lang w:val="zh-CN"/>
            </w:rPr>
            <w:fldChar w:fldCharType="begin"/>
          </w:r>
          <w:r>
            <w:rPr>
              <w:bCs/>
              <w:lang w:val="zh-CN"/>
            </w:rPr>
            <w:instrText xml:space="preserve"> HYPERLINK \l _Toc11843 </w:instrText>
          </w:r>
          <w:r>
            <w:rPr>
              <w:bCs/>
              <w:lang w:val="zh-CN"/>
            </w:rPr>
            <w:fldChar w:fldCharType="separate"/>
          </w:r>
          <w:r>
            <w:rPr>
              <w:rFonts w:hint="eastAsia"/>
              <w:lang w:val="en-US" w:eastAsia="zh-CN"/>
            </w:rPr>
            <w:t>附件7：</w:t>
          </w:r>
          <w:r>
            <w:rPr>
              <w:rFonts w:hint="eastAsia"/>
            </w:rPr>
            <w:t>关于专项债资金不用于禁止类项目清单的承诺函</w:t>
          </w:r>
          <w:r>
            <w:tab/>
          </w:r>
          <w:r>
            <w:fldChar w:fldCharType="begin"/>
          </w:r>
          <w:r>
            <w:instrText xml:space="preserve"> PAGEREF _Toc11843 \h </w:instrText>
          </w:r>
          <w:r>
            <w:fldChar w:fldCharType="separate"/>
          </w:r>
          <w:r>
            <w:t>81</w:t>
          </w:r>
          <w:r>
            <w:fldChar w:fldCharType="end"/>
          </w:r>
          <w:r>
            <w:rPr>
              <w:bCs/>
              <w:lang w:val="zh-CN"/>
            </w:rPr>
            <w:fldChar w:fldCharType="end"/>
          </w:r>
        </w:p>
        <w:p>
          <w:r>
            <w:rPr>
              <w:bCs/>
              <w:lang w:val="zh-CN"/>
            </w:rPr>
            <w:fldChar w:fldCharType="end"/>
          </w:r>
        </w:p>
      </w:sdtContent>
    </w:sdt>
    <w:p>
      <w:pPr>
        <w:pStyle w:val="2"/>
        <w:ind w:firstLine="210"/>
        <w:rPr>
          <w:lang w:val="zh-CN"/>
        </w:rPr>
      </w:pPr>
    </w:p>
    <w:p>
      <w:pPr>
        <w:pStyle w:val="5"/>
        <w:spacing w:before="163" w:after="163"/>
        <w:jc w:val="center"/>
        <w:rPr>
          <w:rFonts w:cs="仿宋"/>
          <w:szCs w:val="32"/>
        </w:rPr>
      </w:pPr>
      <w:bookmarkStart w:id="1" w:name="_Toc1563"/>
      <w:bookmarkStart w:id="2" w:name="_Toc55468456"/>
      <w:bookmarkStart w:id="3" w:name="_Toc23942243"/>
      <w:bookmarkStart w:id="4" w:name="_Toc14784"/>
      <w:bookmarkStart w:id="5" w:name="_Toc29320"/>
      <w:r>
        <w:rPr>
          <w:rFonts w:hint="eastAsia" w:cs="仿宋"/>
        </w:rPr>
        <w:t>前  言</w:t>
      </w:r>
      <w:bookmarkEnd w:id="1"/>
      <w:bookmarkEnd w:id="2"/>
      <w:bookmarkEnd w:id="3"/>
      <w:bookmarkEnd w:id="4"/>
      <w:bookmarkEnd w:id="5"/>
    </w:p>
    <w:p>
      <w:pPr>
        <w:ind w:firstLine="480"/>
        <w:rPr>
          <w:rFonts w:cs="仿宋"/>
        </w:rPr>
      </w:pPr>
      <w:r>
        <w:rPr>
          <w:rFonts w:hint="eastAsia" w:cs="仿宋"/>
        </w:rPr>
        <w:t>《四川省“十四五”城市市政基础设施建设规划》指出，加强城市基础设施智能化建设和改造，要以“新城建”对接“新基建”，全面推进城市信息模型（CIM）平台建设，推动智能化市政基础设施建设和更新改造、协同发展智慧城市和智能网联汽车、建设智能化城市安全监管平台、加快推进智慧社区建设、推动智能建造和建筑工业化协同发展和推进城市综合管理服务平台建设。</w:t>
      </w:r>
    </w:p>
    <w:p>
      <w:pPr>
        <w:ind w:firstLine="480"/>
        <w:rPr>
          <w:rFonts w:cs="仿宋"/>
        </w:rPr>
      </w:pPr>
      <w:r>
        <w:rPr>
          <w:rFonts w:hint="eastAsia" w:cs="仿宋"/>
        </w:rPr>
        <w:t>《成都市国民经济和社会发展第十四个五年规划和二〇三五年远景目标纲要》提出到2035年，力争高水平实现社会主义现代化，创新型城市建设进入世界先进城市行列，成为美丽中国建设实践范例，世界文化名城影响力显著提升。基本公共服务、基础设施、人民生活达到东部地区水平，共同富裕走在全国前列，超大城市治理体系和治理能力现代化基本实现，成为具有国际影响力的活跃增长极和强劲动力源，全面建成践行新发展理念的公园城市示范区、泛欧泛亚有重要影响力的国际门户枢纽城市。到2050年，建成泛欧泛亚区域性的经济中心、科技创新中心、金融中心、贸易中心、文化中心，成为创新驱动、全龄友好、生活富裕、生态宜居的公园城市样板，全面建成社会主义现代化新天府，成为充分体现中国特色、时代特征、成都特质的可持续发展世界城市。在这样的背景下，本项目也随之应运而生。</w:t>
      </w:r>
    </w:p>
    <w:p>
      <w:pPr>
        <w:ind w:firstLine="480"/>
        <w:rPr>
          <w:rFonts w:cs="仿宋"/>
        </w:rPr>
      </w:pPr>
      <w:r>
        <w:rPr>
          <w:rFonts w:hint="eastAsia" w:cs="仿宋"/>
        </w:rPr>
        <w:t>发行现代交通产业功能区微网优联基础设施及配套项目专项债券是深入贯彻党的十九大会议精神，认真落实新时代以习近平同志为核心的党中央治国理政新理念新思想新战略的战略部署，完善地方政府专项债券管理、规范地方政府融资行为的重要举措。2020年3月31日，国务院总理李克强主持召开国务院常务会议，确定继续加大地方政府专项债额度，对重点项目多、风险水平低、有效投资拉动作用大的地区给予倾斜，加快重大项目和重大民生工程建设。</w:t>
      </w:r>
    </w:p>
    <w:p>
      <w:pPr>
        <w:ind w:firstLine="480"/>
        <w:rPr>
          <w:rFonts w:cs="仿宋"/>
        </w:rPr>
      </w:pPr>
      <w:r>
        <w:rPr>
          <w:rFonts w:hint="eastAsia" w:cs="仿宋"/>
        </w:rPr>
        <w:t>根据《中华人民共和国预算法》和《国务院关于加强地方政府性债务管理的意见》（国发〔2014〕43号）等有关规定，按照财政部《关于试点发展项目收益与融资自求平衡的地方政府专项债券品种的通知》（财预〔2017〕89号文）的要求，在区委区政府的关心和指导下，成都市新都区财政局会同成都市新都现代交通产业功能区管理委员会等有关部门，共同编制完成了《现代交通产业功能区微网优联基础设施及配套项目专项债券实施方案》。</w:t>
      </w:r>
    </w:p>
    <w:p>
      <w:pPr>
        <w:ind w:firstLine="480"/>
        <w:rPr>
          <w:rFonts w:cs="仿宋"/>
        </w:rPr>
      </w:pPr>
      <w:r>
        <w:rPr>
          <w:rFonts w:hint="eastAsia" w:cs="仿宋"/>
        </w:rPr>
        <w:t>现代交通产业功能区微网优联基础设施及配套项目，相关批文手续完备，主管单位和业主单位具备建设工作的主体资格，项目本身既符合新都区城市总体规划有关规定，又符合控制性详细规划有关规定。经测算，该项目总投资估算为101701.06万元，包括资本金和债券资金。其中：资本金由财政拨款和业主自筹构成，共21701.06万元，占总投资比例为21.34%；剩余资金缺口拟通过发行80000.00万元专项债券融资（分两期发行：第一年发行40000.00万元，第二年发行40000.00万元），占比78.66%。在偿还到期的债券本息后，将仍有33670.59万元的累计现金结余，项目本息覆盖倍数为1.21倍，能够实现项目收益和融资自求平衡。与此同时，本方案对潜在影响项目收益和融资平衡结果的各种风险进行了有效评估，制定了详细的融资与还款计划、信息披露计划以及风险防范应急预案。</w:t>
      </w:r>
    </w:p>
    <w:p>
      <w:pPr>
        <w:ind w:firstLine="480"/>
        <w:rPr>
          <w:rFonts w:cs="仿宋"/>
        </w:rPr>
      </w:pPr>
      <w:r>
        <w:rPr>
          <w:rFonts w:hint="eastAsia" w:cs="仿宋"/>
        </w:rPr>
        <w:t>该项目是李克强总理在2019年9月4日召开的国务院常务会议中提及的支持发行地方政府专项债的重点项目领域：市政基础设施项目。本项目是具有一定收益的公益性事业项目，项目收入可以覆盖债券本息，债务风险总体可控，本次债券的发行不会给地方政府带来较大债务压力。</w:t>
      </w:r>
    </w:p>
    <w:p>
      <w:pPr>
        <w:ind w:firstLine="480"/>
        <w:rPr>
          <w:rFonts w:cs="仿宋"/>
        </w:rPr>
      </w:pPr>
      <w:r>
        <w:rPr>
          <w:rFonts w:hint="eastAsia" w:cs="仿宋"/>
        </w:rPr>
        <w:t>未来，我们将妥善处理稳增长和防风险的关系，服务改革发展大局。严格按照政府专项债券余额对应的项目统筹安排资金，提高资金使用效率，保障资金使用安全，做好还本付息工作。同时，我们将以本次债券发行为契机，落实创新、协调、绿色、开放、共享的发展理念，推进经济建设、政治建设、文化建设、社会建设、生态文明建设，为全面建设小康社会做出新的贡献！</w:t>
      </w:r>
      <w:bookmarkStart w:id="6" w:name="_Toc498385044"/>
      <w:bookmarkStart w:id="7" w:name="_Toc23942244"/>
      <w:bookmarkStart w:id="8" w:name="_Toc522095793"/>
      <w:bookmarkStart w:id="9" w:name="_Toc522095559"/>
      <w:bookmarkStart w:id="10" w:name="_Toc498385713"/>
      <w:bookmarkStart w:id="11" w:name="_Toc12009141"/>
      <w:bookmarkStart w:id="12" w:name="_Toc55468457"/>
    </w:p>
    <w:p>
      <w:pPr>
        <w:pStyle w:val="5"/>
        <w:rPr>
          <w:rFonts w:cs="仿宋"/>
        </w:rPr>
      </w:pPr>
      <w:bookmarkStart w:id="13" w:name="_Toc28624"/>
      <w:bookmarkStart w:id="14" w:name="_Toc4484"/>
      <w:bookmarkStart w:id="15" w:name="_Toc5136"/>
      <w:r>
        <w:rPr>
          <w:rFonts w:hint="eastAsia" w:cs="仿宋"/>
        </w:rPr>
        <w:t>一、项目基本情况</w:t>
      </w:r>
      <w:bookmarkEnd w:id="6"/>
      <w:bookmarkEnd w:id="7"/>
      <w:bookmarkEnd w:id="8"/>
      <w:bookmarkEnd w:id="9"/>
      <w:bookmarkEnd w:id="10"/>
      <w:bookmarkEnd w:id="11"/>
      <w:bookmarkEnd w:id="12"/>
      <w:bookmarkEnd w:id="13"/>
      <w:bookmarkEnd w:id="14"/>
      <w:bookmarkEnd w:id="15"/>
    </w:p>
    <w:p>
      <w:pPr>
        <w:pStyle w:val="6"/>
      </w:pPr>
      <w:bookmarkStart w:id="16" w:name="_Toc23776"/>
      <w:bookmarkStart w:id="17" w:name="_Toc12009142"/>
      <w:bookmarkStart w:id="18" w:name="_Toc23942245"/>
      <w:bookmarkStart w:id="19" w:name="_Toc32175"/>
      <w:bookmarkStart w:id="20" w:name="_Toc522095560"/>
      <w:bookmarkStart w:id="21" w:name="_Toc55468458"/>
      <w:bookmarkStart w:id="22" w:name="_Toc24187"/>
      <w:bookmarkStart w:id="23" w:name="_Toc522095794"/>
      <w:bookmarkStart w:id="24" w:name="_Toc12009143"/>
      <w:r>
        <w:rPr>
          <w:rFonts w:hint="eastAsia"/>
        </w:rPr>
        <w:t>（一）城市发展概况</w:t>
      </w:r>
      <w:bookmarkEnd w:id="16"/>
      <w:bookmarkEnd w:id="17"/>
      <w:bookmarkEnd w:id="18"/>
      <w:bookmarkEnd w:id="19"/>
      <w:bookmarkEnd w:id="20"/>
      <w:bookmarkEnd w:id="21"/>
      <w:bookmarkEnd w:id="22"/>
      <w:bookmarkEnd w:id="23"/>
    </w:p>
    <w:p>
      <w:pPr>
        <w:ind w:firstLine="480"/>
        <w:rPr>
          <w:rFonts w:cs="仿宋"/>
        </w:rPr>
      </w:pPr>
      <w:r>
        <w:rPr>
          <w:rFonts w:hint="eastAsia" w:cs="仿宋"/>
        </w:rPr>
        <w:t>近年来，成都市坚定以习近平新时代中国特色社会主义思想为指导，深入学习贯彻党的十九大精神和习近平总书记对四川工作系列重要指示精神，全面落实中央、省委省政府决策部署，着力稳定经济增长，深化改革创新开放，各项事业迈出坚实步伐。总体发展概括如下：</w:t>
      </w:r>
    </w:p>
    <w:p>
      <w:pPr>
        <w:pStyle w:val="7"/>
      </w:pPr>
      <w:bookmarkStart w:id="25" w:name="_Toc7963"/>
      <w:bookmarkStart w:id="26" w:name="_Toc23942246"/>
      <w:bookmarkStart w:id="27" w:name="_Toc15727"/>
      <w:bookmarkStart w:id="28" w:name="_Toc17190"/>
      <w:bookmarkStart w:id="29" w:name="_Hlk82793718"/>
      <w:r>
        <w:rPr>
          <w:rFonts w:hint="eastAsia"/>
        </w:rPr>
        <w:t>1.成都市概况</w:t>
      </w:r>
      <w:bookmarkEnd w:id="25"/>
      <w:bookmarkEnd w:id="26"/>
      <w:bookmarkEnd w:id="27"/>
      <w:bookmarkEnd w:id="28"/>
      <w:bookmarkEnd w:id="29"/>
    </w:p>
    <w:p>
      <w:pPr>
        <w:ind w:firstLine="480"/>
        <w:rPr>
          <w:rFonts w:cs="仿宋"/>
        </w:rPr>
      </w:pPr>
      <w:r>
        <w:rPr>
          <w:rFonts w:hint="eastAsia" w:cs="仿宋"/>
        </w:rPr>
        <w:t>成都是四川省省会，西南地区唯一一个副省级市，特大城市，国家重要的高新技术产业基地、商贸物流中心和综合交通枢纽，西部地区重要的中心城市。成都介于东经102°54′～104°53′和北纬30°05 ′～31°26′之间，总面积14605平方公里，其中耕地面积648万亩。东北与德阳、东南与资阳毗邻，南面与眉山相连，西南与雅安、西北与阿坝州接壤。距东海1600公里，南海1090公里，属内陆地带。成都市辖20个县级行政区划单位（市辖区12，县级市5，县3），261个乡级行政区划单位（街道161，镇100）。根据第七次全国人口普查结果，2020年11月1日零时成都常住人口2093.78万人。成都因地处川西盆地，河网纵横、物产丰富，自古享有“天府之国”的美誉。</w:t>
      </w:r>
    </w:p>
    <w:p>
      <w:pPr>
        <w:pStyle w:val="7"/>
        <w:rPr>
          <w:rFonts w:cs="仿宋"/>
        </w:rPr>
      </w:pPr>
      <w:bookmarkStart w:id="30" w:name="_Toc23942247"/>
      <w:bookmarkStart w:id="31" w:name="_Toc13158"/>
      <w:bookmarkStart w:id="32" w:name="_Toc8988"/>
      <w:bookmarkStart w:id="33" w:name="_Toc14791"/>
      <w:r>
        <w:rPr>
          <w:rFonts w:hint="eastAsia" w:cs="仿宋"/>
        </w:rPr>
        <w:t>2.成都市国民经济情况</w:t>
      </w:r>
      <w:bookmarkEnd w:id="30"/>
      <w:bookmarkEnd w:id="31"/>
      <w:bookmarkEnd w:id="32"/>
      <w:bookmarkEnd w:id="33"/>
    </w:p>
    <w:p>
      <w:pPr>
        <w:ind w:firstLine="480"/>
      </w:pPr>
      <w:r>
        <w:rPr>
          <w:rFonts w:hint="eastAsia"/>
        </w:rPr>
        <w:t xml:space="preserve">成都市是带动西南地区经济增长的核心城市，在国家区域发展战略中具有突 </w:t>
      </w:r>
    </w:p>
    <w:p>
      <w:pPr>
        <w:ind w:firstLine="0" w:firstLineChars="0"/>
      </w:pPr>
      <w:r>
        <w:rPr>
          <w:rFonts w:hint="eastAsia"/>
        </w:rPr>
        <w:t>出的地位，雄厚的经济实力。2021全年实现地区生产总值（GDP）19916.98亿元，按可比价格计算，比上年增长8.6%，两年平均增长6.3%。8.6%的增速高于全省增速0.4个百分点。其中，第一产业增加值582.79亿元，增长4.8%，两年平均增长4.0%；第二产业增加值6114.34亿元，增长8.2%，两年平均增长6.2%；第三产业增加值13219.85亿元，增长9.0%，两年平均增长6.4%。</w:t>
      </w:r>
    </w:p>
    <w:p>
      <w:pPr>
        <w:ind w:firstLine="480"/>
      </w:pPr>
      <w:r>
        <w:rPr>
          <w:rFonts w:hint="eastAsia"/>
        </w:rPr>
        <w:t>一般公共预算。2020年，全市一般公共预算收入完成1520.4亿元，完成预算的101.5%，同口径增长2.5%，其中税收收入完成1130.4亿元，同口径增长3.6%。加上级补助收入、债务转贷收入、上年结余、动用预算稳定调节基金、调入资金等1301.8亿元，收入总量为2822.2亿元。全市一般公共预算支出2159.5亿元，完成预算的95.2%，同口径增长7.6%。加上解上级支出、援助其他地区支出、债务还本支出、安排预算稳定调节基金等553.6亿元，支出总量为2713亿元。全市一般公共预算收支相抵，结转下年109.2亿元。</w:t>
      </w:r>
    </w:p>
    <w:p>
      <w:pPr>
        <w:ind w:firstLine="480"/>
      </w:pPr>
      <w:r>
        <w:rPr>
          <w:rFonts w:hint="eastAsia"/>
        </w:rPr>
        <w:t>2020年，全市政府性基金收入完成1891.4亿元，完成预算的130.3%，同比增长22.2%。加上级补助收入、调入资金、债务转贷收入、上年结余等1127.1亿元，收入总量为3018.6亿元。全市政府性基金支出完2240.5亿元，完成预算的87.6%，同比增长34.4%。加上解上级支出、调出资金、债务还本支出等460.4亿元，支出总量为2700.9亿元。全市政府性基金预算收支相抵，年终结余317.7亿元。</w:t>
      </w:r>
    </w:p>
    <w:p>
      <w:pPr>
        <w:pStyle w:val="6"/>
        <w:rPr>
          <w:rFonts w:cs="仿宋"/>
        </w:rPr>
      </w:pPr>
      <w:bookmarkStart w:id="34" w:name="_Toc55468459"/>
      <w:bookmarkStart w:id="35" w:name="_Toc10883"/>
      <w:bookmarkStart w:id="36" w:name="_Toc11833"/>
      <w:bookmarkStart w:id="37" w:name="_Toc23942249"/>
      <w:bookmarkStart w:id="38" w:name="_Toc14107"/>
      <w:bookmarkStart w:id="39" w:name="_Hlk55908762"/>
      <w:r>
        <w:rPr>
          <w:rFonts w:hint="eastAsia" w:cs="仿宋"/>
        </w:rPr>
        <w:t>（二）城市规划及行业规划</w:t>
      </w:r>
      <w:bookmarkEnd w:id="34"/>
      <w:bookmarkEnd w:id="35"/>
      <w:bookmarkEnd w:id="36"/>
      <w:bookmarkEnd w:id="37"/>
      <w:bookmarkEnd w:id="38"/>
    </w:p>
    <w:p>
      <w:pPr>
        <w:pStyle w:val="7"/>
      </w:pPr>
      <w:bookmarkStart w:id="40" w:name="_Toc6049"/>
      <w:bookmarkStart w:id="41" w:name="_Toc13711"/>
      <w:bookmarkStart w:id="42" w:name="_Toc31664"/>
      <w:bookmarkStart w:id="43" w:name="_Toc23942250"/>
      <w:r>
        <w:rPr>
          <w:rFonts w:hint="eastAsia"/>
        </w:rPr>
        <w:t>1.成都市城市总体规划</w:t>
      </w:r>
      <w:bookmarkEnd w:id="40"/>
      <w:bookmarkEnd w:id="41"/>
      <w:bookmarkEnd w:id="42"/>
      <w:bookmarkEnd w:id="43"/>
    </w:p>
    <w:p>
      <w:pPr>
        <w:ind w:firstLine="480"/>
      </w:pPr>
      <w:r>
        <w:rPr>
          <w:rFonts w:hint="eastAsia"/>
        </w:rPr>
        <w:t>《成都市城市总体规划》（2016-2035年）深入贯彻中央新思想新理念，以及落实习近平总书记视察四川的重要指示，将成都市发展战略定位：加快建设全面体现新发展新理念的城市，奋力实现新时代成都“三步走”战略目标，建设美丽宜居公园城市、国际门户枢纽城市、世界文化名城，迈向可持续发展的世界城市。</w:t>
      </w:r>
    </w:p>
    <w:p>
      <w:pPr>
        <w:ind w:firstLine="480"/>
      </w:pPr>
      <w:r>
        <w:rPr>
          <w:rFonts w:hint="eastAsia"/>
        </w:rPr>
        <w:t>规划明确了成都市发展目标，即：2035年，加快建设美丽宜居公园城市，全面建成泛欧泛亚具有重要影响力的国际门户枢纽城市；本世纪中叶，全面建成现代化新天府，成为可持续发展的世界城市。2018年2月，习近平总书记视察四川，明确提出支持成都建设全面体现新发展理念的城市，为成都未来的发展指明了方向。国务院批复的《成渝城市群发展规划》确立了成都建设国家中心城市的目标任务。同时，国家赋予了成都以高标准建设天府新区、加快建设中国(四川)自由贸易试验区、创新推动国家自主创新示范区建设等使命。</w:t>
      </w:r>
    </w:p>
    <w:p>
      <w:pPr>
        <w:ind w:firstLine="480"/>
      </w:pPr>
      <w:r>
        <w:rPr>
          <w:rFonts w:hint="eastAsia"/>
        </w:rPr>
        <w:t>成都市着眼延续千年立城的历史格局和治理大城市病的现实需要，形成“一心两翼三轴多中心”的网络化市域空间结构。“一心”即龙泉山城市森林公园。将龙泉山由生态屏障提升为两翼共享的世界级品质城市绿心和国际化城市会客厅。“两翼”分别为中心城区和东部城市新区。中心城区范围扩大至11个市辖区以及高新区(南区、西区)，天府新区直管区，构筑“双核、双轴、一区、多点”的空间结构，规划城市建设用地面积1388平方公里、城市人口1360万人，建设国家中心城市功能核心区。</w:t>
      </w:r>
    </w:p>
    <w:p>
      <w:pPr>
        <w:ind w:firstLine="0" w:firstLineChars="0"/>
        <w:jc w:val="center"/>
        <w:rPr>
          <w:b/>
          <w:bCs/>
        </w:rPr>
      </w:pPr>
      <w:r>
        <w:drawing>
          <wp:anchor distT="0" distB="0" distL="0" distR="0" simplePos="0" relativeHeight="251661312" behindDoc="0" locked="0" layoutInCell="1" allowOverlap="1">
            <wp:simplePos x="0" y="0"/>
            <wp:positionH relativeFrom="column">
              <wp:posOffset>1905</wp:posOffset>
            </wp:positionH>
            <wp:positionV relativeFrom="paragraph">
              <wp:posOffset>99695</wp:posOffset>
            </wp:positionV>
            <wp:extent cx="5267325" cy="3724910"/>
            <wp:effectExtent l="0" t="0" r="3175" b="889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67325" cy="3724910"/>
                    </a:xfrm>
                    <a:prstGeom prst="rect">
                      <a:avLst/>
                    </a:prstGeom>
                    <a:noFill/>
                  </pic:spPr>
                </pic:pic>
              </a:graphicData>
            </a:graphic>
          </wp:anchor>
        </w:drawing>
      </w:r>
      <w:r>
        <w:rPr>
          <w:rFonts w:hint="eastAsia"/>
          <w:b/>
          <w:bCs/>
          <w:lang w:val="en-US" w:eastAsia="zh-CN"/>
        </w:rPr>
        <w:t>成</w:t>
      </w:r>
      <w:r>
        <w:rPr>
          <w:rFonts w:hint="eastAsia"/>
          <w:b/>
          <w:bCs/>
        </w:rPr>
        <w:t>都</w:t>
      </w:r>
      <w:r>
        <w:rPr>
          <w:b/>
          <w:bCs/>
        </w:rPr>
        <w:t>市城市总体规划（201</w:t>
      </w:r>
      <w:r>
        <w:rPr>
          <w:rFonts w:hint="eastAsia"/>
          <w:b/>
          <w:bCs/>
        </w:rPr>
        <w:t>6</w:t>
      </w:r>
      <w:r>
        <w:rPr>
          <w:b/>
          <w:bCs/>
        </w:rPr>
        <w:t>-2035）</w:t>
      </w:r>
    </w:p>
    <w:p>
      <w:pPr>
        <w:pStyle w:val="7"/>
        <w:rPr>
          <w:rFonts w:cs="仿宋"/>
        </w:rPr>
      </w:pPr>
      <w:bookmarkStart w:id="44" w:name="_Toc23942251"/>
      <w:bookmarkStart w:id="45" w:name="_Toc18607"/>
      <w:bookmarkStart w:id="46" w:name="_Toc15775"/>
      <w:bookmarkStart w:id="47" w:name="_Toc32061"/>
      <w:r>
        <w:rPr>
          <w:rFonts w:hint="eastAsia" w:cs="仿宋"/>
        </w:rPr>
        <w:t>2.</w:t>
      </w:r>
      <w:bookmarkEnd w:id="44"/>
      <w:r>
        <w:rPr>
          <w:rFonts w:hint="eastAsia" w:cs="仿宋"/>
        </w:rPr>
        <w:t>四川省市政基础设施发展规划</w:t>
      </w:r>
      <w:bookmarkEnd w:id="45"/>
      <w:bookmarkEnd w:id="46"/>
      <w:bookmarkEnd w:id="47"/>
    </w:p>
    <w:p>
      <w:pPr>
        <w:ind w:firstLine="480"/>
        <w:rPr>
          <w:rFonts w:cs="仿宋"/>
        </w:rPr>
      </w:pPr>
      <w:r>
        <w:rPr>
          <w:rFonts w:hint="eastAsia" w:cs="仿宋"/>
        </w:rPr>
        <w:t>《四川省“十四五”城市市政基础设施建设规划》（简称《规划》）指出要以习近平新时代中国特色社会主义思想为指导，全面贯彻党的十九大和十九届二中、三中、四中、五中全会精神和习近平总书记关于城市规划建设和管理的重要指示精神，落实省委十一届六次、七次、八次、九次全会精神和省政府决策部署，坚持以人民为中心，坚持生态优先、绿色发展，坚持创新驱动，以解决人民群众最关心、最直接、最现实的利益问题为立足点，以满足人民日益增长的美好生活需要为根本目的，深入打好污染防治攻坚战，着力补齐城市基础设施短板，增强城市基础设施防灾减灾能力，提升人居环境品质，切实提高我省城市基础设施承载能力，构建系统完备、高效实用、智能绿色、安全可靠的现代化基础设施体系，全面提高基础设施效率，持续推进基础设施高质量发展，为建设经济强省、推动治蜀兴川再上新台阶提供有力支撑。</w:t>
      </w:r>
    </w:p>
    <w:p>
      <w:pPr>
        <w:ind w:firstLine="480"/>
        <w:rPr>
          <w:rFonts w:cs="仿宋"/>
        </w:rPr>
      </w:pPr>
      <w:r>
        <w:rPr>
          <w:rFonts w:hint="eastAsia" w:cs="仿宋"/>
        </w:rPr>
        <w:t>“十四五”期间，我省城市市政基础设施发展要坚持目标导向和问题导向相结合，锚定二〇三五年与全国同步基本实现社会主义现代化，综合考虑面临的形势和四川发展阶段性特征，坚持战略引领、适度超前，统筹增量和存量，传统和新型基础设施发展，推动一系列基础设施建设重点任务的实施，为城市高质量发展提供有力支撑，推动美丽四川建设目标的基本实现。到2025年，全省城市市政基础设施更加完善，发展短板基本补齐，基础设施运行效能和抗风险能力显著增强，城镇生活污水和城乡生活垃圾治理水平大幅提升，城乡人居环境明显改善。到2035年，全面建成系统完备、高效实用、智能绿色、安全可靠的现代化基础设施体系，城市基础设施整体性更加完善。</w:t>
      </w:r>
    </w:p>
    <w:p>
      <w:pPr>
        <w:pStyle w:val="7"/>
        <w:rPr>
          <w:rFonts w:cs="仿宋"/>
        </w:rPr>
      </w:pPr>
      <w:bookmarkStart w:id="48" w:name="_Toc23942252"/>
      <w:bookmarkStart w:id="49" w:name="_Toc14279"/>
      <w:bookmarkStart w:id="50" w:name="_Toc8777"/>
      <w:bookmarkStart w:id="51" w:name="_Toc23988"/>
      <w:r>
        <w:rPr>
          <w:rFonts w:hint="eastAsia" w:cs="仿宋"/>
        </w:rPr>
        <w:t>3.新都区市政基础设施发展规划</w:t>
      </w:r>
      <w:bookmarkEnd w:id="48"/>
      <w:bookmarkEnd w:id="49"/>
      <w:bookmarkEnd w:id="50"/>
      <w:bookmarkEnd w:id="51"/>
    </w:p>
    <w:p>
      <w:pPr>
        <w:ind w:firstLine="480"/>
      </w:pPr>
      <w:r>
        <w:rPr>
          <w:rFonts w:hint="eastAsia"/>
        </w:rPr>
        <w:t>《成都市新都区国民经济和社会发展第十四个五年规划和二〇三五年远景目标纲要》指出，加快建设智造服务引领区，要以创新驱动为内核，坚持有所为有所不为，紧扣“智造+服务”主攻方向深化产业技术变革，做大做强轨道、航空等先进制造业，支持传统产业迈向产业链价值链高端，促进先进制造业与先进生产性服务业联动发展，大力发展都市工业、总部经济、楼宇经济，推动以“数字信息”为代表的新经济筑基成势，打造具有国际影响力的智造服务高地。</w:t>
      </w:r>
    </w:p>
    <w:p>
      <w:pPr>
        <w:ind w:firstLine="480"/>
      </w:pPr>
      <w:r>
        <w:rPr>
          <w:rFonts w:hint="eastAsia"/>
        </w:rPr>
        <w:t>《成都制造2025规划新都行动计划》指出推动产业高端发展，要以高端化为引领，顺应产业发展趋势，根据新都重点产业发展导向，走出去，引进来，瞄准高端，加快引入掌握核心技术、具有龙头带动效应的大项目、高端项目，以增量优化产业结构，促进产业转型升级。提升园区承载能力要按照成都市新一轮工业空间布局调整及“3+N”工业园区建设大格局，遵循“以城定产”、“三规合一”的原则，以建设“一流园区”为目标，打造“一区两园”、“双千亿”、高端装备制造业集聚发展的功能区。坚持规划提升与产业发展、机制建设共进的思路，提升工业园区产业承载功能和要素聚集水平。加快启动21平方公里石板滩拓展区空间布局规划调整工作，加快园区基础及配套设施建设；到2025年，形成工业区和石板滩拓展区各具发展优势的大产业、大园区发展格局。</w:t>
      </w:r>
      <w:bookmarkEnd w:id="24"/>
    </w:p>
    <w:p>
      <w:pPr>
        <w:pStyle w:val="6"/>
        <w:rPr>
          <w:rFonts w:cs="仿宋"/>
        </w:rPr>
      </w:pPr>
      <w:bookmarkStart w:id="52" w:name="_Toc23942253"/>
      <w:bookmarkStart w:id="53" w:name="_Toc12103"/>
      <w:bookmarkStart w:id="54" w:name="_Toc55468460"/>
      <w:bookmarkStart w:id="55" w:name="_Toc24894"/>
      <w:bookmarkStart w:id="56" w:name="_Toc23871"/>
      <w:r>
        <w:rPr>
          <w:rFonts w:hint="eastAsia" w:cs="仿宋"/>
        </w:rPr>
        <w:t>（三）项目概况</w:t>
      </w:r>
      <w:bookmarkEnd w:id="52"/>
      <w:bookmarkEnd w:id="53"/>
      <w:bookmarkEnd w:id="54"/>
      <w:bookmarkEnd w:id="55"/>
      <w:bookmarkEnd w:id="56"/>
    </w:p>
    <w:p>
      <w:pPr>
        <w:pStyle w:val="7"/>
      </w:pPr>
      <w:bookmarkStart w:id="57" w:name="_Toc15728"/>
      <w:bookmarkStart w:id="58" w:name="_Toc23947412"/>
      <w:bookmarkStart w:id="59" w:name="_Toc29444"/>
      <w:bookmarkStart w:id="60" w:name="_Toc522095565"/>
      <w:bookmarkStart w:id="61" w:name="_Toc522095799"/>
      <w:bookmarkStart w:id="62" w:name="_Toc12009148"/>
      <w:bookmarkStart w:id="63" w:name="_Toc522095907"/>
      <w:bookmarkStart w:id="64" w:name="_Toc25955"/>
      <w:r>
        <w:rPr>
          <w:rFonts w:hint="eastAsia"/>
        </w:rPr>
        <w:t>1.参与主体</w:t>
      </w:r>
      <w:bookmarkEnd w:id="57"/>
      <w:bookmarkEnd w:id="58"/>
      <w:bookmarkEnd w:id="59"/>
      <w:bookmarkEnd w:id="60"/>
      <w:bookmarkEnd w:id="61"/>
      <w:bookmarkEnd w:id="62"/>
      <w:bookmarkEnd w:id="63"/>
      <w:bookmarkEnd w:id="64"/>
    </w:p>
    <w:p>
      <w:pPr>
        <w:ind w:firstLine="480"/>
      </w:pPr>
      <w:r>
        <w:rPr>
          <w:rFonts w:hint="eastAsia"/>
        </w:rPr>
        <w:t>主管单位：成都市新都现代交通产业功能区管理委员会</w:t>
      </w:r>
    </w:p>
    <w:p>
      <w:pPr>
        <w:ind w:firstLine="480"/>
      </w:pPr>
      <w:r>
        <w:rPr>
          <w:rFonts w:hint="eastAsia"/>
        </w:rPr>
        <w:t>项目业主：成都盛丰邦瑞投资有限公司</w:t>
      </w:r>
    </w:p>
    <w:p>
      <w:pPr>
        <w:pStyle w:val="7"/>
        <w:rPr>
          <w:rFonts w:cs="仿宋"/>
        </w:rPr>
      </w:pPr>
      <w:bookmarkStart w:id="65" w:name="_Toc17875"/>
      <w:bookmarkStart w:id="66" w:name="_Toc30567"/>
      <w:bookmarkStart w:id="67" w:name="_Toc31731"/>
      <w:r>
        <w:rPr>
          <w:rFonts w:hint="eastAsia" w:cs="仿宋"/>
        </w:rPr>
        <w:t>2.项目概况</w:t>
      </w:r>
      <w:bookmarkEnd w:id="65"/>
      <w:bookmarkEnd w:id="66"/>
      <w:bookmarkEnd w:id="67"/>
    </w:p>
    <w:p>
      <w:pPr>
        <w:ind w:firstLine="480"/>
      </w:pPr>
      <w:r>
        <w:rPr>
          <w:rFonts w:hint="eastAsia"/>
        </w:rPr>
        <w:t>（1）项目所属领域</w:t>
      </w:r>
    </w:p>
    <w:p>
      <w:pPr>
        <w:ind w:firstLine="480"/>
      </w:pPr>
      <w:r>
        <w:rPr>
          <w:rFonts w:hint="eastAsia"/>
        </w:rPr>
        <w:t>本项目是具有一定收益的公益性事业项目，符合财预〔2017〕89号文关于“积极探索在有一定收益的公益性事业领域分类发行专项债券”的领域要求。</w:t>
      </w:r>
    </w:p>
    <w:p>
      <w:pPr>
        <w:ind w:firstLine="480"/>
        <w:rPr>
          <w:rFonts w:cs="仿宋"/>
        </w:rPr>
      </w:pPr>
      <w:r>
        <w:rPr>
          <w:rFonts w:hint="eastAsia" w:cs="仿宋"/>
        </w:rPr>
        <w:t>本项目是市政基础设施项目，是支持发行地方政府专项债的重点项目领域，是发改委重点支持的重大项目。</w:t>
      </w:r>
    </w:p>
    <w:p>
      <w:pPr>
        <w:ind w:firstLine="480"/>
      </w:pPr>
      <w:r>
        <w:rPr>
          <w:rFonts w:hint="eastAsia"/>
        </w:rPr>
        <w:t>（2）项目位置</w:t>
      </w:r>
    </w:p>
    <w:p>
      <w:pPr>
        <w:ind w:firstLine="480"/>
        <w:rPr>
          <w:rFonts w:cs="仿宋"/>
        </w:rPr>
      </w:pPr>
      <w:r>
        <w:rPr>
          <w:rFonts w:hint="eastAsia" w:cs="仿宋"/>
        </w:rPr>
        <w:t>现代交通产业功能区微网优联基础设施及配套项目位于新都区最南侧的石板滩镇，石木路与龙石路相交东南侧，“新都现代交通产业功能区”轨交创新中心和轨交活力公园东南侧。</w:t>
      </w:r>
    </w:p>
    <w:p>
      <w:pPr>
        <w:ind w:firstLine="480"/>
        <w:rPr>
          <w:rFonts w:cs="仿宋"/>
        </w:rPr>
      </w:pPr>
      <w:r>
        <w:rPr>
          <w:rFonts w:hint="eastAsia" w:cs="仿宋"/>
        </w:rPr>
        <w:t>项目距离市中心20KM，距离火车站16KM，距离机场33KM。城市道路四通八达，交通便利，可达性强，地理位置十分优越。</w:t>
      </w:r>
    </w:p>
    <w:p>
      <w:pPr>
        <w:ind w:firstLine="480"/>
      </w:pPr>
      <w:r>
        <mc:AlternateContent>
          <mc:Choice Requires="wps">
            <w:drawing>
              <wp:anchor distT="0" distB="0" distL="114300" distR="114300" simplePos="0" relativeHeight="251662336" behindDoc="0" locked="0" layoutInCell="1" allowOverlap="1">
                <wp:simplePos x="0" y="0"/>
                <wp:positionH relativeFrom="column">
                  <wp:posOffset>4003675</wp:posOffset>
                </wp:positionH>
                <wp:positionV relativeFrom="paragraph">
                  <wp:posOffset>426085</wp:posOffset>
                </wp:positionV>
                <wp:extent cx="873760" cy="360045"/>
                <wp:effectExtent l="4445" t="4445" r="10795" b="16510"/>
                <wp:wrapNone/>
                <wp:docPr id="12" name="文本框 12"/>
                <wp:cNvGraphicFramePr/>
                <a:graphic xmlns:a="http://schemas.openxmlformats.org/drawingml/2006/main">
                  <a:graphicData uri="http://schemas.microsoft.com/office/word/2010/wordprocessingShape">
                    <wps:wsp>
                      <wps:cNvSpPr txBox="1"/>
                      <wps:spPr>
                        <a:xfrm>
                          <a:off x="5305425" y="1483360"/>
                          <a:ext cx="873760" cy="3600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right="-120" w:rightChars="-50" w:firstLine="0" w:firstLineChars="0"/>
                            </w:pPr>
                            <w:r>
                              <w:rPr>
                                <w:rFonts w:hint="eastAsia"/>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25pt;margin-top:33.55pt;height:28.35pt;width:68.8pt;z-index:251662336;mso-width-relative:page;mso-height-relative:page;" fillcolor="#FFFFFF [3201]" filled="t" stroked="t" coordsize="21600,21600" o:gfxdata="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6RJg7NUAAAAKAQAADwAAAAAAAAABACAAAAAiAAAAZHJzL2Rvd25yZXYueG1sUEsBAhQAFAAAAAgA&#10;h07iQFDErK1hAgAAxAQAAA4AAAAAAAAAAQAgAAAAJAEAAGRycy9lMm9Eb2MueG1sUEsFBgAAAAAG&#10;AAYAWQEAAPcFAAAAAA==&#10;">
                <v:fill on="t" focussize="0,0"/>
                <v:stroke weight="0.5pt" color="#000000 [3204]" joinstyle="round"/>
                <v:imagedata o:title=""/>
                <o:lock v:ext="edit" aspectratio="f"/>
                <v:textbox>
                  <w:txbxContent>
                    <w:p>
                      <w:pPr>
                        <w:ind w:right="-120" w:rightChars="-50" w:firstLine="0" w:firstLineChars="0"/>
                      </w:pPr>
                      <w:r>
                        <w:rPr>
                          <w:rFonts w:hint="eastAsia"/>
                        </w:rPr>
                        <w:t>项目位置</w:t>
                      </w:r>
                    </w:p>
                  </w:txbxContent>
                </v:textbox>
              </v:shape>
            </w:pict>
          </mc:Fallback>
        </mc:AlternateContent>
      </w:r>
      <w:r>
        <mc:AlternateContent>
          <mc:Choice Requires="wpg">
            <w:drawing>
              <wp:inline distT="0" distB="0" distL="114300" distR="114300">
                <wp:extent cx="4773930" cy="2777490"/>
                <wp:effectExtent l="0" t="0" r="1270" b="3810"/>
                <wp:docPr id="11" name="组合 47"/>
                <wp:cNvGraphicFramePr/>
                <a:graphic xmlns:a="http://schemas.openxmlformats.org/drawingml/2006/main">
                  <a:graphicData uri="http://schemas.microsoft.com/office/word/2010/wordprocessingGroup">
                    <wpg:wgp>
                      <wpg:cNvGrpSpPr>
                        <a:grpSpLocks noRot="1"/>
                      </wpg:cNvGrpSpPr>
                      <wpg:grpSpPr>
                        <a:xfrm>
                          <a:off x="0" y="0"/>
                          <a:ext cx="4773869" cy="2777490"/>
                          <a:chOff x="0" y="398"/>
                          <a:chExt cx="7517" cy="4374"/>
                        </a:xfrm>
                      </wpg:grpSpPr>
                      <pic:pic xmlns:pic="http://schemas.openxmlformats.org/drawingml/2006/picture">
                        <pic:nvPicPr>
                          <pic:cNvPr id="8" name="图片 48" descr="image11"/>
                          <pic:cNvPicPr>
                            <a:picLocks noChangeAspect="1"/>
                          </pic:cNvPicPr>
                        </pic:nvPicPr>
                        <pic:blipFill>
                          <a:blip r:embed="rId26"/>
                          <a:stretch>
                            <a:fillRect/>
                          </a:stretch>
                        </pic:blipFill>
                        <pic:spPr>
                          <a:xfrm>
                            <a:off x="0" y="398"/>
                            <a:ext cx="7517" cy="4374"/>
                          </a:xfrm>
                          <a:prstGeom prst="rect">
                            <a:avLst/>
                          </a:prstGeom>
                          <a:noFill/>
                          <a:ln>
                            <a:noFill/>
                          </a:ln>
                        </pic:spPr>
                      </pic:pic>
                      <pic:pic xmlns:pic="http://schemas.openxmlformats.org/drawingml/2006/picture">
                        <pic:nvPicPr>
                          <pic:cNvPr id="9" name="图片 49" descr="image12"/>
                          <pic:cNvPicPr>
                            <a:picLocks noChangeAspect="1"/>
                          </pic:cNvPicPr>
                        </pic:nvPicPr>
                        <pic:blipFill>
                          <a:blip r:embed="rId27"/>
                          <a:stretch>
                            <a:fillRect/>
                          </a:stretch>
                        </pic:blipFill>
                        <pic:spPr>
                          <a:xfrm>
                            <a:off x="5460" y="986"/>
                            <a:ext cx="1765" cy="1195"/>
                          </a:xfrm>
                          <a:prstGeom prst="rect">
                            <a:avLst/>
                          </a:prstGeom>
                          <a:noFill/>
                          <a:ln>
                            <a:noFill/>
                          </a:ln>
                        </pic:spPr>
                      </pic:pic>
                    </wpg:wgp>
                  </a:graphicData>
                </a:graphic>
              </wp:inline>
            </w:drawing>
          </mc:Choice>
          <mc:Fallback>
            <w:pict>
              <v:group id="组合 47" o:spid="_x0000_s1026" o:spt="203" style="height:218.7pt;width:375.9pt;" coordorigin="0,398" coordsize="7517,4374" o:gfxdata="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">
                <o:lock v:ext="edit" rotation="t" aspectratio="f"/>
                <v:shape id="图片 48" o:spid="_x0000_s1026" o:spt="75" alt="image11" type="#_x0000_t75" style="position:absolute;left:0;top:398;height:4374;width:7517;" filled="f" o:preferrelative="t" stroked="f" coordsize="21600,21600" o:gfxdata="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wLg8ugAAANoA&#10;AAAPAAAAAAAAAAEAIAAAACIAAABkcnMvZG93bnJldi54bWxQSwECFAAUAAAACACHTuJAMy8FnjsA&#10;AAA5AAAAEAAAAAAAAAABACAAAAAJAQAAZHJzL3NoYXBleG1sLnhtbFBLBQYAAAAABgAGAFsBAACz&#10;AwAAAAA=&#10;">
                  <v:fill on="f" focussize="0,0"/>
                  <v:stroke on="f"/>
                  <v:imagedata r:id="rId26" o:title=""/>
                  <o:lock v:ext="edit" aspectratio="t"/>
                </v:shape>
                <v:shape id="图片 49" o:spid="_x0000_s1026" o:spt="75" alt="image12" type="#_x0000_t75" style="position:absolute;left:5460;top:986;height:1195;width:1765;" filled="f" o:preferrelative="t" stroked="f" coordsize="21600,21600" o:gfxdata="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MgddvQAA&#10;ANoAAAAPAAAAAAAAAAEAIAAAACIAAABkcnMvZG93bnJldi54bWxQSwECFAAUAAAACACHTuJAMy8F&#10;njsAAAA5AAAAEAAAAAAAAAABACAAAAAMAQAAZHJzL3NoYXBleG1sLnhtbFBLBQYAAAAABgAGAFsB&#10;AAC2AwAAAAA=&#10;">
                  <v:fill on="f" focussize="0,0"/>
                  <v:stroke on="f"/>
                  <v:imagedata r:id="rId27" o:title=""/>
                  <o:lock v:ext="edit" aspectratio="t"/>
                </v:shape>
                <w10:wrap type="none"/>
                <w10:anchorlock/>
              </v:group>
            </w:pict>
          </mc:Fallback>
        </mc:AlternateContent>
      </w:r>
    </w:p>
    <w:p>
      <w:pPr>
        <w:pStyle w:val="140"/>
        <w:rPr>
          <w:rFonts w:hint="default"/>
        </w:rPr>
      </w:pPr>
      <w:r>
        <w:t>项目位置图</w:t>
      </w:r>
    </w:p>
    <w:p>
      <w:pPr>
        <w:ind w:firstLine="480"/>
        <w:rPr>
          <w:rFonts w:cs="仿宋"/>
        </w:rPr>
      </w:pPr>
      <w:r>
        <w:rPr>
          <w:rFonts w:hint="eastAsia" w:cs="仿宋"/>
        </w:rPr>
        <w:t>（3）新都区控制性详细规划</w:t>
      </w:r>
    </w:p>
    <w:p>
      <w:pPr>
        <w:ind w:firstLine="480"/>
      </w:pPr>
      <w:r>
        <w:rPr>
          <w:rFonts w:hint="eastAsia"/>
        </w:rPr>
        <w:t>该项目符合新都区控制性详细规划，详见下图：</w:t>
      </w:r>
    </w:p>
    <w:p>
      <w:pPr>
        <w:pStyle w:val="140"/>
        <w:rPr>
          <w:rFonts w:hint="default"/>
        </w:rPr>
      </w:pPr>
      <w:r>
        <w:drawing>
          <wp:inline distT="0" distB="0" distL="114300" distR="114300">
            <wp:extent cx="4775200" cy="4919980"/>
            <wp:effectExtent l="0" t="0" r="6350" b="4445"/>
            <wp:docPr id="22" name="图片 22" descr="bd41ba2b9d1015c699bfda23391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bd41ba2b9d1015c699bfda23391e203"/>
                    <pic:cNvPicPr>
                      <a:picLocks noChangeAspect="1"/>
                    </pic:cNvPicPr>
                  </pic:nvPicPr>
                  <pic:blipFill>
                    <a:blip r:embed="rId28"/>
                    <a:stretch>
                      <a:fillRect/>
                    </a:stretch>
                  </pic:blipFill>
                  <pic:spPr>
                    <a:xfrm>
                      <a:off x="0" y="0"/>
                      <a:ext cx="4775200" cy="4919980"/>
                    </a:xfrm>
                    <a:prstGeom prst="rect">
                      <a:avLst/>
                    </a:prstGeom>
                  </pic:spPr>
                </pic:pic>
              </a:graphicData>
            </a:graphic>
          </wp:inline>
        </w:drawing>
      </w:r>
      <w:r>
        <w:drawing>
          <wp:inline distT="0" distB="0" distL="114300" distR="114300">
            <wp:extent cx="4610100" cy="5959475"/>
            <wp:effectExtent l="0" t="0" r="0" b="3175"/>
            <wp:docPr id="28" name="图片 28" descr="eeaea0bcbbf4440f02c210ce854b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eaea0bcbbf4440f02c210ce854baa0"/>
                    <pic:cNvPicPr>
                      <a:picLocks noChangeAspect="1"/>
                    </pic:cNvPicPr>
                  </pic:nvPicPr>
                  <pic:blipFill>
                    <a:blip r:embed="rId29"/>
                    <a:stretch>
                      <a:fillRect/>
                    </a:stretch>
                  </pic:blipFill>
                  <pic:spPr>
                    <a:xfrm>
                      <a:off x="0" y="0"/>
                      <a:ext cx="4610100" cy="5959475"/>
                    </a:xfrm>
                    <a:prstGeom prst="rect">
                      <a:avLst/>
                    </a:prstGeom>
                  </pic:spPr>
                </pic:pic>
              </a:graphicData>
            </a:graphic>
          </wp:inline>
        </w:drawing>
      </w:r>
    </w:p>
    <w:p>
      <w:pPr>
        <w:pStyle w:val="140"/>
        <w:rPr>
          <w:rFonts w:hint="default"/>
        </w:rPr>
      </w:pPr>
      <w:r>
        <w:rPr>
          <w:szCs w:val="21"/>
          <w:lang w:bidi="zh-CN"/>
        </w:rPr>
        <w:t>成都市新都区</w:t>
      </w:r>
      <w:r>
        <w:t>控制性详细规划</w:t>
      </w:r>
    </w:p>
    <w:p>
      <w:pPr>
        <w:ind w:firstLine="480"/>
        <w:rPr>
          <w:rFonts w:cs="仿宋"/>
        </w:rPr>
      </w:pPr>
      <w:r>
        <w:rPr>
          <w:rFonts w:hint="eastAsia" w:cs="仿宋"/>
        </w:rPr>
        <w:t>（4）项目合法合规性文件</w:t>
      </w:r>
    </w:p>
    <w:p>
      <w:pPr>
        <w:pStyle w:val="140"/>
        <w:rPr>
          <w:rFonts w:hint="default"/>
        </w:rPr>
      </w:pPr>
      <w:r>
        <w:t>项目合法合规性文件</w:t>
      </w:r>
    </w:p>
    <w:tbl>
      <w:tblPr>
        <w:tblStyle w:val="32"/>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03"/>
        <w:gridCol w:w="4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332" w:type="pct"/>
            <w:shd w:val="clear" w:color="auto" w:fill="auto"/>
            <w:vAlign w:val="center"/>
          </w:tcPr>
          <w:p>
            <w:pPr>
              <w:spacing w:line="240" w:lineRule="auto"/>
              <w:ind w:firstLine="0" w:firstLineChars="0"/>
              <w:jc w:val="center"/>
              <w:rPr>
                <w:rFonts w:cs="仿宋"/>
                <w:b/>
                <w:sz w:val="21"/>
                <w:szCs w:val="21"/>
              </w:rPr>
            </w:pPr>
            <w:r>
              <w:rPr>
                <w:rFonts w:hint="eastAsia" w:cs="仿宋"/>
                <w:b/>
                <w:sz w:val="21"/>
                <w:szCs w:val="21"/>
              </w:rPr>
              <w:t>审批部门</w:t>
            </w:r>
          </w:p>
        </w:tc>
        <w:tc>
          <w:tcPr>
            <w:tcW w:w="2667" w:type="pct"/>
            <w:shd w:val="clear" w:color="auto" w:fill="auto"/>
            <w:vAlign w:val="center"/>
          </w:tcPr>
          <w:p>
            <w:pPr>
              <w:spacing w:line="240" w:lineRule="auto"/>
              <w:ind w:firstLine="0" w:firstLineChars="0"/>
              <w:jc w:val="center"/>
              <w:rPr>
                <w:rFonts w:cs="仿宋"/>
                <w:b/>
                <w:sz w:val="21"/>
                <w:szCs w:val="21"/>
              </w:rPr>
            </w:pPr>
            <w:r>
              <w:rPr>
                <w:rFonts w:hint="eastAsia" w:cs="仿宋"/>
                <w:b/>
                <w:sz w:val="21"/>
                <w:szCs w:val="21"/>
              </w:rPr>
              <w:t>文件内容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cs="仿宋"/>
                <w:b w:val="0"/>
                <w:bCs/>
                <w:sz w:val="21"/>
                <w:szCs w:val="21"/>
              </w:rPr>
            </w:pPr>
            <w:bookmarkStart w:id="68" w:name="_Toc17855"/>
            <w:bookmarkStart w:id="69" w:name="_Toc28617776"/>
            <w:bookmarkStart w:id="70" w:name="_Toc23188"/>
            <w:r>
              <w:rPr>
                <w:rFonts w:hint="eastAsia" w:cs="仿宋"/>
                <w:b w:val="0"/>
                <w:bCs/>
                <w:sz w:val="21"/>
                <w:szCs w:val="21"/>
              </w:rPr>
              <w:t>成都市新都区规划和自然资源局</w:t>
            </w:r>
          </w:p>
        </w:tc>
        <w:tc>
          <w:tcPr>
            <w:tcW w:w="2667" w:type="pct"/>
            <w:shd w:val="clear" w:color="auto" w:fill="auto"/>
            <w:vAlign w:val="center"/>
          </w:tcPr>
          <w:p>
            <w:pPr>
              <w:spacing w:line="240" w:lineRule="auto"/>
              <w:ind w:firstLine="0" w:firstLineChars="0"/>
              <w:jc w:val="center"/>
              <w:rPr>
                <w:rFonts w:cs="仿宋"/>
                <w:b w:val="0"/>
                <w:bCs/>
                <w:sz w:val="21"/>
                <w:szCs w:val="21"/>
              </w:rPr>
            </w:pPr>
            <w:r>
              <w:rPr>
                <w:rFonts w:hint="eastAsia" w:cs="仿宋"/>
                <w:b w:val="0"/>
                <w:bCs/>
                <w:sz w:val="21"/>
                <w:szCs w:val="21"/>
              </w:rPr>
              <w:t>用地预审的复函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default" w:eastAsia="仿宋" w:cs="仿宋"/>
                <w:b w:val="0"/>
                <w:bCs/>
                <w:sz w:val="21"/>
                <w:szCs w:val="21"/>
                <w:lang w:val="en-US" w:eastAsia="zh-CN"/>
              </w:rPr>
            </w:pPr>
            <w:r>
              <w:rPr>
                <w:rFonts w:hint="eastAsia" w:cs="仿宋"/>
                <w:b w:val="0"/>
                <w:bCs/>
                <w:sz w:val="21"/>
                <w:szCs w:val="21"/>
                <w:lang w:val="en-US" w:eastAsia="zh-CN"/>
              </w:rPr>
              <w:t>成都市新都区行政审批局</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成都盛丰邦瑞投资有限公司营业执照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eastAsia" w:cs="仿宋"/>
                <w:b w:val="0"/>
                <w:bCs/>
                <w:sz w:val="21"/>
                <w:szCs w:val="21"/>
                <w:lang w:val="en-US" w:eastAsia="zh-CN"/>
              </w:rPr>
            </w:pPr>
            <w:r>
              <w:rPr>
                <w:rFonts w:hint="eastAsia" w:cs="仿宋"/>
                <w:b w:val="0"/>
                <w:bCs/>
                <w:sz w:val="21"/>
                <w:szCs w:val="21"/>
                <w:lang w:val="en-US" w:eastAsia="zh-CN"/>
              </w:rPr>
              <w:t>新都区发展和改革局</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四川省固定资产投资项目备案表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eastAsia" w:cs="仿宋"/>
                <w:b w:val="0"/>
                <w:bCs/>
                <w:sz w:val="21"/>
                <w:szCs w:val="21"/>
                <w:lang w:val="en-US" w:eastAsia="zh-CN"/>
              </w:rPr>
            </w:pPr>
            <w:r>
              <w:rPr>
                <w:rFonts w:hint="eastAsia" w:cs="仿宋"/>
                <w:b w:val="0"/>
                <w:bCs/>
                <w:sz w:val="21"/>
                <w:szCs w:val="21"/>
                <w:lang w:val="en-US" w:eastAsia="zh-CN"/>
              </w:rPr>
              <w:t>成都市新都生态环境局</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关于建设项目环境影响评价手续办理情况的说明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eastAsia" w:cs="仿宋"/>
                <w:b w:val="0"/>
                <w:bCs/>
                <w:sz w:val="21"/>
                <w:szCs w:val="21"/>
                <w:lang w:val="en-US" w:eastAsia="zh-CN"/>
              </w:rPr>
            </w:pPr>
            <w:r>
              <w:rPr>
                <w:rFonts w:hint="eastAsia" w:cs="仿宋"/>
                <w:b w:val="0"/>
                <w:bCs/>
                <w:sz w:val="21"/>
                <w:szCs w:val="21"/>
                <w:lang w:val="en-US" w:eastAsia="zh-CN"/>
              </w:rPr>
              <w:t>成都盛丰邦瑞投资有限公司</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关于专项债资金不用于禁止类项目清单的</w:t>
            </w:r>
          </w:p>
          <w:p>
            <w:pPr>
              <w:spacing w:line="240" w:lineRule="auto"/>
              <w:ind w:firstLine="0" w:firstLineChars="0"/>
              <w:jc w:val="center"/>
              <w:rPr>
                <w:rFonts w:hint="eastAsia" w:cs="仿宋"/>
                <w:b w:val="0"/>
                <w:bCs/>
                <w:sz w:val="21"/>
                <w:szCs w:val="21"/>
              </w:rPr>
            </w:pPr>
            <w:r>
              <w:rPr>
                <w:rFonts w:hint="eastAsia" w:cs="仿宋"/>
                <w:b w:val="0"/>
                <w:bCs/>
                <w:sz w:val="21"/>
                <w:szCs w:val="21"/>
              </w:rPr>
              <w:t>承诺函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eastAsia" w:cs="仿宋"/>
                <w:b w:val="0"/>
                <w:bCs/>
                <w:sz w:val="21"/>
                <w:szCs w:val="21"/>
                <w:lang w:val="en-US" w:eastAsia="zh-CN"/>
              </w:rPr>
            </w:pPr>
            <w:r>
              <w:rPr>
                <w:rFonts w:hint="eastAsia" w:cs="仿宋"/>
                <w:b w:val="0"/>
                <w:bCs/>
                <w:sz w:val="21"/>
                <w:szCs w:val="21"/>
                <w:lang w:val="en-US" w:eastAsia="zh-CN"/>
              </w:rPr>
              <w:t>成都市新都区财政局</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资本金落实来源的说明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332" w:type="pct"/>
            <w:shd w:val="clear" w:color="auto" w:fill="auto"/>
            <w:vAlign w:val="center"/>
          </w:tcPr>
          <w:p>
            <w:pPr>
              <w:spacing w:line="240" w:lineRule="auto"/>
              <w:ind w:firstLine="0" w:firstLineChars="0"/>
              <w:jc w:val="center"/>
              <w:rPr>
                <w:rFonts w:hint="eastAsia" w:cs="仿宋"/>
                <w:b w:val="0"/>
                <w:bCs/>
                <w:sz w:val="21"/>
                <w:szCs w:val="21"/>
                <w:lang w:val="en-US" w:eastAsia="zh-CN"/>
              </w:rPr>
            </w:pPr>
            <w:r>
              <w:rPr>
                <w:rFonts w:hint="eastAsia" w:cs="仿宋"/>
                <w:b w:val="0"/>
                <w:bCs/>
                <w:sz w:val="21"/>
                <w:szCs w:val="21"/>
                <w:lang w:val="en-US" w:eastAsia="zh-CN"/>
              </w:rPr>
              <w:t>成都市新都区财政局</w:t>
            </w:r>
          </w:p>
        </w:tc>
        <w:tc>
          <w:tcPr>
            <w:tcW w:w="2667" w:type="pct"/>
            <w:shd w:val="clear" w:color="auto" w:fill="auto"/>
            <w:vAlign w:val="center"/>
          </w:tcPr>
          <w:p>
            <w:pPr>
              <w:spacing w:line="240" w:lineRule="auto"/>
              <w:ind w:firstLine="0" w:firstLineChars="0"/>
              <w:jc w:val="center"/>
              <w:rPr>
                <w:rFonts w:hint="eastAsia" w:cs="仿宋"/>
                <w:b w:val="0"/>
                <w:bCs/>
                <w:sz w:val="21"/>
                <w:szCs w:val="21"/>
              </w:rPr>
            </w:pPr>
            <w:r>
              <w:rPr>
                <w:rFonts w:hint="eastAsia" w:cs="仿宋"/>
                <w:b w:val="0"/>
                <w:bCs/>
                <w:sz w:val="21"/>
                <w:szCs w:val="21"/>
              </w:rPr>
              <w:t>财政补贴收入的说明</w:t>
            </w:r>
          </w:p>
        </w:tc>
      </w:tr>
    </w:tbl>
    <w:p>
      <w:pPr>
        <w:rPr>
          <w:b/>
          <w:bCs/>
        </w:rPr>
      </w:pPr>
      <w:r>
        <w:rPr>
          <w:b/>
          <w:bCs/>
        </w:rPr>
        <w:t>根据财政部、发展改革委《关于印发地方政府专项债券资金投向领域禁止类项目清单》的通知{财预〔2021〕115号}，承诺本项目若包含文件负面清单建设内容不使用专项债券资金建设。</w:t>
      </w:r>
    </w:p>
    <w:p>
      <w:pPr>
        <w:pStyle w:val="7"/>
        <w:rPr>
          <w:rFonts w:cs="仿宋"/>
        </w:rPr>
      </w:pPr>
      <w:bookmarkStart w:id="71" w:name="_Toc26576"/>
      <w:bookmarkStart w:id="72" w:name="_Toc8561"/>
      <w:r>
        <w:rPr>
          <w:rFonts w:hint="eastAsia" w:cs="仿宋"/>
        </w:rPr>
        <w:t>3.建设运营方案</w:t>
      </w:r>
      <w:bookmarkEnd w:id="68"/>
      <w:bookmarkEnd w:id="69"/>
      <w:bookmarkEnd w:id="70"/>
      <w:bookmarkEnd w:id="71"/>
      <w:bookmarkEnd w:id="72"/>
    </w:p>
    <w:p>
      <w:pPr>
        <w:ind w:firstLine="480"/>
        <w:rPr>
          <w:rFonts w:hint="eastAsia" w:cs="仿宋"/>
        </w:rPr>
      </w:pPr>
      <w:r>
        <w:rPr>
          <w:rFonts w:hint="eastAsia" w:cs="仿宋"/>
        </w:rPr>
        <w:t>（1）建设内容</w:t>
      </w:r>
    </w:p>
    <w:p>
      <w:pPr>
        <w:ind w:firstLine="480"/>
        <w:rPr>
          <w:rFonts w:hint="default" w:eastAsia="仿宋" w:cs="仿宋"/>
          <w:lang w:val="en-US" w:eastAsia="zh-CN"/>
        </w:rPr>
      </w:pPr>
      <w:r>
        <w:rPr>
          <w:rFonts w:hint="eastAsia" w:cs="仿宋"/>
          <w:lang w:val="en-US" w:eastAsia="zh-CN"/>
        </w:rPr>
        <w:t>本</w:t>
      </w:r>
      <w:r>
        <w:rPr>
          <w:rFonts w:hint="eastAsia"/>
          <w:bCs/>
        </w:rPr>
        <w:t>项目包括土建、装饰装修及安装工程；总建筑密度47.63%，总容积率1.83。配套建设成金青路（北侧起点</w:t>
      </w:r>
      <w:r>
        <w:rPr>
          <w:bCs/>
        </w:rPr>
        <w:t>-三木路口）电力隧道工程</w:t>
      </w:r>
      <w:r>
        <w:rPr>
          <w:rFonts w:hint="eastAsia"/>
        </w:rPr>
        <w:t>。</w:t>
      </w:r>
      <w:r>
        <w:rPr>
          <w:rFonts w:hint="eastAsia"/>
          <w:lang w:val="en-US" w:eastAsia="zh-CN"/>
        </w:rPr>
        <w:t>具体包含</w:t>
      </w:r>
      <w:bookmarkStart w:id="545" w:name="_GoBack"/>
      <w:bookmarkEnd w:id="545"/>
      <w:r>
        <w:rPr>
          <w:rFonts w:hint="eastAsia"/>
          <w:lang w:val="en-US" w:eastAsia="zh-CN"/>
        </w:rPr>
        <w:t>：</w:t>
      </w:r>
    </w:p>
    <w:p>
      <w:pPr>
        <w:ind w:firstLine="480"/>
        <w:rPr>
          <w:rFonts w:hint="eastAsia" w:cs="仿宋"/>
          <w:lang w:val="en-US" w:eastAsia="zh-CN"/>
        </w:rPr>
      </w:pPr>
      <w:r>
        <w:rPr>
          <w:rFonts w:hint="eastAsia" w:cs="仿宋"/>
          <w:lang w:val="en-US" w:eastAsia="zh-CN"/>
        </w:rPr>
        <w:t>1、现代交通产业功能区微网优联基础设施及配套项目（Wi-Fi6生产研发总部基地二期项目），总规划建设净用地面积97311.25㎡（约146亩），规划总建筑面积198948.61㎡，其中：地上计容建筑面积183018.03㎡，地上不计容建筑面积1812.57㎡，地下建筑面积14118.01㎡，总建筑密度48.05%，总容积率</w:t>
      </w:r>
    </w:p>
    <w:p>
      <w:pPr>
        <w:ind w:left="0" w:leftChars="0" w:firstLine="0" w:firstLineChars="0"/>
        <w:rPr>
          <w:rFonts w:hint="eastAsia" w:cs="仿宋"/>
          <w:lang w:val="en-US" w:eastAsia="zh-CN"/>
        </w:rPr>
      </w:pPr>
      <w:r>
        <w:rPr>
          <w:rFonts w:hint="eastAsia" w:cs="仿宋"/>
          <w:lang w:val="en-US" w:eastAsia="zh-CN"/>
        </w:rPr>
        <w:t>1.881。建设内容包含标准化厂房、配套用房、总平工程等。</w:t>
      </w:r>
    </w:p>
    <w:p>
      <w:pPr>
        <w:numPr>
          <w:ilvl w:val="0"/>
          <w:numId w:val="1"/>
        </w:numPr>
        <w:ind w:left="0" w:leftChars="0" w:firstLine="480" w:firstLineChars="200"/>
        <w:rPr>
          <w:rFonts w:hint="eastAsia" w:cs="仿宋"/>
          <w:lang w:val="en-US" w:eastAsia="zh-CN"/>
        </w:rPr>
      </w:pPr>
      <w:r>
        <w:rPr>
          <w:rFonts w:hint="eastAsia" w:cs="仿宋"/>
          <w:lang w:val="en-US" w:eastAsia="zh-CN"/>
        </w:rPr>
        <w:t>创新中心服务平台建设项目，主要对成都市新都高新技术企业社区（B区）进行改建，改建面积约1.2万平方米。</w:t>
      </w:r>
    </w:p>
    <w:p>
      <w:pPr>
        <w:numPr>
          <w:ilvl w:val="0"/>
          <w:numId w:val="1"/>
        </w:numPr>
        <w:ind w:left="0" w:leftChars="0" w:firstLine="480" w:firstLineChars="200"/>
        <w:rPr>
          <w:rFonts w:hint="default"/>
          <w:lang w:val="en-US" w:eastAsia="zh-CN"/>
        </w:rPr>
      </w:pPr>
      <w:r>
        <w:rPr>
          <w:rFonts w:hint="eastAsia" w:cs="仿宋"/>
          <w:lang w:val="en-US" w:eastAsia="zh-CN"/>
        </w:rPr>
        <w:t>中航物资厂房改建项目，建设内容为2＃物料中心和交付中心两厂房部分区域改建，改建面积约2.5万平方米。</w:t>
      </w:r>
    </w:p>
    <w:p>
      <w:pPr>
        <w:numPr>
          <w:ilvl w:val="0"/>
          <w:numId w:val="1"/>
        </w:numPr>
        <w:ind w:left="0" w:leftChars="0" w:firstLine="480" w:firstLineChars="200"/>
        <w:rPr>
          <w:rFonts w:hint="default"/>
          <w:lang w:val="en-US" w:eastAsia="zh-CN"/>
        </w:rPr>
      </w:pPr>
      <w:r>
        <w:rPr>
          <w:rFonts w:hint="eastAsia" w:cs="仿宋"/>
          <w:lang w:val="en-US" w:eastAsia="zh-CN"/>
        </w:rPr>
        <w:t>蜀龙 220kV 变电站进出线通道项目(二批次），本项目南起于在建蜀龙 220kV 变电站进出线通道项目（一批次）的成金青与三木路交叉口，北接成金青路北侧，全长约 2364m，明挖通道尺寸规格 2.4*2.7 米，长度约 1842m；暗挖通道尺寸规格 2.5*3.0 米，长度约 68m；暗挖通道尺寸规格2.4*2.7 米，长度约 454m。主要建设内容包括土石方工程、电力通道主体及附属设施工程、支护工程、安装工程等。</w:t>
      </w:r>
    </w:p>
    <w:p>
      <w:pPr>
        <w:numPr>
          <w:ilvl w:val="0"/>
          <w:numId w:val="1"/>
        </w:numPr>
        <w:ind w:left="0" w:leftChars="0" w:firstLine="480" w:firstLineChars="200"/>
        <w:rPr>
          <w:rFonts w:hint="default"/>
          <w:lang w:val="en-US" w:eastAsia="zh-CN"/>
        </w:rPr>
      </w:pPr>
      <w:r>
        <w:rPr>
          <w:rFonts w:hint="default"/>
          <w:lang w:val="en-US" w:eastAsia="zh-CN"/>
        </w:rPr>
        <w:t>标准化厂房三期</w:t>
      </w:r>
      <w:r>
        <w:rPr>
          <w:rFonts w:hint="eastAsia"/>
          <w:lang w:val="en-US" w:eastAsia="zh-CN"/>
        </w:rPr>
        <w:t>配套用房改建项目，项目改建面积约6.3万平方米。</w:t>
      </w:r>
    </w:p>
    <w:p>
      <w:pPr>
        <w:numPr>
          <w:ilvl w:val="0"/>
          <w:numId w:val="2"/>
        </w:numPr>
        <w:ind w:firstLine="480"/>
        <w:rPr>
          <w:rFonts w:hint="eastAsia"/>
          <w:lang w:val="en-US" w:eastAsia="zh-CN"/>
        </w:rPr>
      </w:pPr>
      <w:r>
        <w:rPr>
          <w:rFonts w:hint="eastAsia"/>
        </w:rPr>
        <w:t>运营</w:t>
      </w:r>
      <w:r>
        <w:rPr>
          <w:rFonts w:hint="eastAsia"/>
          <w:lang w:eastAsia="zh-CN"/>
        </w:rPr>
        <w:t>、</w:t>
      </w:r>
      <w:r>
        <w:rPr>
          <w:rFonts w:hint="eastAsia"/>
          <w:lang w:val="en-US" w:eastAsia="zh-CN"/>
        </w:rPr>
        <w:t>设计方案</w:t>
      </w:r>
    </w:p>
    <w:p>
      <w:pPr>
        <w:pStyle w:val="2"/>
        <w:numPr>
          <w:ilvl w:val="0"/>
          <w:numId w:val="0"/>
        </w:numPr>
        <w:ind w:firstLine="480" w:firstLineChars="200"/>
        <w:rPr>
          <w:rFonts w:hint="default"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1）运营方案</w:t>
      </w:r>
    </w:p>
    <w:p>
      <w:pPr>
        <w:ind w:firstLine="480"/>
      </w:pPr>
      <w:r>
        <w:rPr>
          <w:rFonts w:hint="eastAsia"/>
        </w:rPr>
        <w:t>本项目的建设及运营由政府及项目业主共同负责监督。项目业主或项目业主指定分、子公司或控股公司负责该项目或该项目子项目的具体建设、运营、管理工作。从制度上规范、从执行上监控，保障规划的建设进度按期完成，预设的建设经济技术指标落实到位。项目业主根据项目实施计划开展工程建设等相关工作；保证项目资金的使用与项目实施进度相匹配；定期向行业主管部门、项目资金主管部门汇报项目实施进度及项目资金使用情况。</w:t>
      </w:r>
    </w:p>
    <w:p>
      <w:pPr>
        <w:ind w:firstLine="480"/>
      </w:pPr>
      <w:r>
        <w:rPr>
          <w:rFonts w:hint="eastAsia"/>
        </w:rPr>
        <w:t>①工程监理</w:t>
      </w:r>
    </w:p>
    <w:p>
      <w:pPr>
        <w:ind w:firstLine="480"/>
      </w:pPr>
      <w:r>
        <w:rPr>
          <w:rFonts w:hint="eastAsia"/>
        </w:rPr>
        <w:t>本项目均按国家建设部发布的有关工程监理的法规性文件规定、 实行工程监理。委托有相应监理资质的监理单位对工程进行全过程监理，包括设计阶段、施工阶段、竣工验收阶段的监理。审核总监理工程师编制的项目监理的指导性文件，专业监理工程师编制的可具体实施和操作的业务文件。</w:t>
      </w:r>
    </w:p>
    <w:p>
      <w:pPr>
        <w:ind w:firstLine="480"/>
      </w:pPr>
      <w:r>
        <w:rPr>
          <w:rFonts w:hint="eastAsia"/>
        </w:rPr>
        <w:t>②质量管理</w:t>
      </w:r>
    </w:p>
    <w:p>
      <w:pPr>
        <w:ind w:firstLine="480"/>
      </w:pPr>
      <w:r>
        <w:rPr>
          <w:rFonts w:hint="eastAsia"/>
        </w:rPr>
        <w:t>严格按照国家建设项目建设程序和管理制度严格管理，建设工程定期检查，严格按照国家技术标准和质量要求组织实施。项目建设按图施工，明确规定项目的技术标准、质量和工期等，不降低建设标准。对工序交接、隐蔽工程检查、设计的变更审核、质量事故的处理、质量和技术鉴证等进行控制，对出现违反质量规定的事件、容易形成质量隐患的做法采取措施予以制止。建立工程质量日记、质量汇报会等制度以了解和掌握质量动态，及时处理质量问题。</w:t>
      </w:r>
    </w:p>
    <w:p>
      <w:pPr>
        <w:ind w:firstLine="480"/>
      </w:pPr>
      <w:r>
        <w:rPr>
          <w:rFonts w:hint="eastAsia"/>
        </w:rPr>
        <w:t>③进度控制</w:t>
      </w:r>
    </w:p>
    <w:p>
      <w:pPr>
        <w:ind w:firstLine="480"/>
      </w:pPr>
      <w:r>
        <w:rPr>
          <w:rFonts w:hint="eastAsia"/>
        </w:rPr>
        <w:t>编制项目实施总进度计划，审核项目阶段性进度计划，制定材料采购计划，寻找出进度控制点，确定完成日期。当实施进度与计划发生差异时，必须及时制定对策，调整其他计划，建立新的平衡，制定保证不突破总工期的措施，包括组织措施、技术措施、经济措施等。</w:t>
      </w:r>
    </w:p>
    <w:p>
      <w:pPr>
        <w:ind w:firstLine="480"/>
      </w:pPr>
      <w:r>
        <w:rPr>
          <w:rFonts w:hint="eastAsia"/>
        </w:rPr>
        <w:t>④资金管理</w:t>
      </w:r>
    </w:p>
    <w:p>
      <w:pPr>
        <w:ind w:firstLine="480"/>
      </w:pPr>
      <w:r>
        <w:rPr>
          <w:rFonts w:hint="eastAsia"/>
        </w:rPr>
        <w:t>工程建设资金实行专户、专项管理，按照国家规定制订规范的项目财务、会计和报账管理制度，建立资金使用审批制度，设立规范的基本建设财务账簿、编制用款计划和定期上报工程进展情况统计表。与审计部门配合，对资金使用情况进行定期检查和审计。进行投资风险预测，分析项目价格构成因素，事前分析费用最容易突破的环节，从而明确投资控制的重点。</w:t>
      </w:r>
    </w:p>
    <w:p>
      <w:pPr>
        <w:ind w:firstLine="480"/>
      </w:pPr>
      <w:r>
        <w:rPr>
          <w:rFonts w:hint="eastAsia"/>
        </w:rPr>
        <w:t>定期检查和对照费用支付情况，对项目超支和节约情况做出分析， 提出改进方案。</w:t>
      </w:r>
    </w:p>
    <w:p>
      <w:pPr>
        <w:ind w:firstLine="480"/>
      </w:pPr>
      <w:r>
        <w:rPr>
          <w:rFonts w:hint="eastAsia"/>
        </w:rPr>
        <w:t>⑤合同管理</w:t>
      </w:r>
    </w:p>
    <w:p>
      <w:pPr>
        <w:ind w:firstLine="480"/>
      </w:pPr>
      <w:r>
        <w:rPr>
          <w:rFonts w:hint="eastAsia"/>
        </w:rPr>
        <w:t>本项目合同主要包括勘察设计合同、施工合同以及与建设工程相关的其他合同。合同管理由合同的主要条款、合同的订立和履行、合同的变更与解除、合同的违约责任等部分组成。按照本项目的规模和工期、项目的复杂程度、项目单项工程的性质，选择合同的具体类型、使用条款等。</w:t>
      </w:r>
    </w:p>
    <w:p>
      <w:pPr>
        <w:ind w:firstLine="480"/>
      </w:pPr>
      <w:r>
        <w:rPr>
          <w:rFonts w:hint="eastAsia"/>
        </w:rPr>
        <w:t>⑥项目协调</w:t>
      </w:r>
    </w:p>
    <w:p>
      <w:pPr>
        <w:ind w:firstLine="480"/>
      </w:pPr>
      <w:r>
        <w:rPr>
          <w:rFonts w:hint="eastAsia"/>
        </w:rPr>
        <w:t>项目的开发过程需要处理与计划、土地、规划、建设、交通、消 防、环保、电力、水、通信等有关部门的协调问题。严格遵守国家有关规章制度，积极主动地和各级职能部门配合，争取各部门的帮助，以保证建设项目的顺利进行。</w:t>
      </w:r>
    </w:p>
    <w:p>
      <w:pPr>
        <w:ind w:firstLine="480"/>
      </w:pPr>
      <w:r>
        <w:rPr>
          <w:rFonts w:hint="eastAsia"/>
        </w:rPr>
        <w:t>⑦竣工验收</w:t>
      </w:r>
    </w:p>
    <w:p>
      <w:pPr>
        <w:ind w:firstLine="480"/>
        <w:rPr>
          <w:rFonts w:hint="eastAsia"/>
        </w:rPr>
      </w:pPr>
      <w:r>
        <w:rPr>
          <w:rFonts w:hint="eastAsia"/>
        </w:rPr>
        <w:t>在接到施工单位的交工报告后，及时组织初验。建设项目全部建成后，由业主及相关职能部门的专业技术人员和专家组成的验收组验收项目，签发竣工验收报告。</w:t>
      </w:r>
    </w:p>
    <w:p>
      <w:pPr>
        <w:pStyle w:val="2"/>
        <w:numPr>
          <w:ilvl w:val="0"/>
          <w:numId w:val="3"/>
        </w:numPr>
        <w:ind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设计方案</w:t>
      </w:r>
    </w:p>
    <w:p>
      <w:pPr>
        <w:numPr>
          <w:ilvl w:val="0"/>
          <w:numId w:val="4"/>
        </w:numPr>
        <w:ind w:left="0" w:leftChars="0" w:firstLine="480" w:firstLineChars="200"/>
        <w:rPr>
          <w:rFonts w:hint="eastAsia"/>
          <w:lang w:val="en-US" w:eastAsia="zh-CN"/>
        </w:rPr>
      </w:pPr>
      <w:r>
        <w:rPr>
          <w:rFonts w:hint="eastAsia"/>
          <w:lang w:val="en-US" w:eastAsia="zh-CN"/>
        </w:rPr>
        <w:t>建筑设计</w:t>
      </w:r>
    </w:p>
    <w:p>
      <w:pPr>
        <w:ind w:firstLine="480"/>
        <w:rPr>
          <w:rFonts w:hint="eastAsia"/>
          <w:lang w:val="en-US" w:eastAsia="zh-CN"/>
        </w:rPr>
      </w:pPr>
      <w:r>
        <w:rPr>
          <w:rFonts w:hint="eastAsia"/>
          <w:lang w:val="en-US" w:eastAsia="zh-CN"/>
        </w:rPr>
        <w:t>本项目开发前场地基本平整，无文物、自然水系、湿地、基本农田、森林和其它保护区。场地土壤氡含量符合《民用建筑工程室内环境污染控制标准》GB50325-2020的相关要求。建筑无光污染，且不影响周围建筑的日照要求，满足当地日照要求。合理开发利用地下室，集约利用土地，地下室主要为设备用房、消防水池等。场地内环境噪声良好，符合现行国家标准《声环境质量标准》GB3096-2008的规定。场地内人行通道采用无障碍设计，并在建筑主要出入口合理设置无障碍坡道。</w:t>
      </w:r>
    </w:p>
    <w:p>
      <w:pPr>
        <w:pStyle w:val="2"/>
        <w:numPr>
          <w:ilvl w:val="0"/>
          <w:numId w:val="4"/>
        </w:numPr>
        <w:spacing w:line="360" w:lineRule="auto"/>
        <w:ind w:left="0" w:leftChars="0"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结构设计</w:t>
      </w:r>
    </w:p>
    <w:p>
      <w:pPr>
        <w:pStyle w:val="2"/>
        <w:spacing w:line="360" w:lineRule="auto"/>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本项目未采用国家和四川省发布的已经淘汰的技术、材料和设备，并符合国家的标准、规程、规范。合理选用高性能钢筋。混凝土结构中梁、柱纵向受力普通钢筋应采用不低于400Mpa级的热轧带肋钢筋。择优选用建筑形体，节约建材。</w:t>
      </w:r>
    </w:p>
    <w:p>
      <w:pPr>
        <w:pStyle w:val="2"/>
        <w:numPr>
          <w:ilvl w:val="0"/>
          <w:numId w:val="4"/>
        </w:numPr>
        <w:spacing w:line="360" w:lineRule="auto"/>
        <w:ind w:left="0" w:leftChars="0" w:firstLine="480" w:firstLineChars="200"/>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给排水设计</w:t>
      </w:r>
    </w:p>
    <w:p>
      <w:pPr>
        <w:pStyle w:val="2"/>
        <w:spacing w:line="360" w:lineRule="auto"/>
        <w:rPr>
          <w:rFonts w:hint="eastAsia" w:ascii="仿宋" w:hAnsi="仿宋" w:eastAsia="仿宋" w:cs="Times New Roman"/>
          <w:kern w:val="2"/>
          <w:sz w:val="24"/>
          <w:szCs w:val="24"/>
          <w:lang w:val="en-US" w:eastAsia="zh-CN" w:bidi="ar-SA"/>
        </w:rPr>
      </w:pPr>
      <w:r>
        <w:rPr>
          <w:rFonts w:hint="eastAsia" w:ascii="仿宋" w:hAnsi="仿宋" w:eastAsia="仿宋" w:cs="Times New Roman"/>
          <w:kern w:val="2"/>
          <w:sz w:val="24"/>
          <w:szCs w:val="24"/>
          <w:lang w:val="en-US" w:eastAsia="zh-CN" w:bidi="ar-SA"/>
        </w:rPr>
        <w:t>本项目未采用国家和四川省发布的已经淘汰的技术、材料和设备，并符合国家的标准、规程、规范。给排水系统设置应合理、完善、安全。生活给水系统的设置符合现行国家标准《民用建筑节水设计标准》GB50555-2010的相关要求。本工程给水水源为城市自来水。场地红线四周市政排水条件充分。市政管网为雨污分流制设置分级分项计量水表，并采取有效措施避免管网漏损。</w:t>
      </w:r>
    </w:p>
    <w:p>
      <w:pPr>
        <w:pStyle w:val="7"/>
        <w:rPr>
          <w:rFonts w:cs="仿宋"/>
        </w:rPr>
      </w:pPr>
      <w:bookmarkStart w:id="73" w:name="_Toc3048"/>
      <w:bookmarkStart w:id="74" w:name="_Toc14133"/>
      <w:bookmarkStart w:id="75" w:name="_Toc24228"/>
      <w:bookmarkStart w:id="76" w:name="_Toc33263075"/>
      <w:bookmarkStart w:id="77" w:name="_Toc10556"/>
      <w:bookmarkStart w:id="78" w:name="_Toc8497"/>
      <w:r>
        <w:rPr>
          <w:rFonts w:hint="eastAsia" w:cs="仿宋"/>
        </w:rPr>
        <w:t>4.项目的公益性分析</w:t>
      </w:r>
      <w:bookmarkEnd w:id="73"/>
      <w:bookmarkEnd w:id="74"/>
      <w:bookmarkEnd w:id="75"/>
      <w:bookmarkEnd w:id="76"/>
      <w:bookmarkEnd w:id="77"/>
      <w:bookmarkEnd w:id="78"/>
    </w:p>
    <w:p>
      <w:pPr>
        <w:ind w:firstLine="480"/>
      </w:pPr>
      <w:r>
        <w:rPr>
          <w:rFonts w:hint="eastAsia"/>
        </w:rPr>
        <w:t>（1）带动相关行业发展，保持社会稳定</w:t>
      </w:r>
    </w:p>
    <w:p>
      <w:pPr>
        <w:ind w:firstLine="480"/>
      </w:pPr>
      <w:r>
        <w:rPr>
          <w:rFonts w:hint="eastAsia"/>
        </w:rPr>
        <w:t>项目建设将进一步完善项目所在地的基础配套设施，进一步提升城市风貌，加快城市发展，必将拉动周边区域的地块升级，同时刺激区域经济增长，提高周边区域本身自我积累的能力，实现基础设施带动经济，是促进项目周边地区经济发展的重要措施。该项目的建设将在一定程度上带动当地建筑业、建材业、金融保险业等行业的发展，在新都区经济发展、城乡一体化建设过程中做出重要贡献。</w:t>
      </w:r>
    </w:p>
    <w:p>
      <w:pPr>
        <w:ind w:firstLine="480"/>
      </w:pPr>
      <w:r>
        <w:rPr>
          <w:rFonts w:hint="eastAsia"/>
        </w:rPr>
        <w:t>项目的建设不单是改善当地居民生产生活环境，更重要的是要促进城市生产要素的流动，产业链条向外延伸，带动居民就地转移就业，促进城市周边的发展、增效和增收。</w:t>
      </w:r>
    </w:p>
    <w:p>
      <w:pPr>
        <w:ind w:firstLine="480"/>
      </w:pPr>
      <w:r>
        <w:rPr>
          <w:rFonts w:hint="eastAsia"/>
        </w:rPr>
        <w:t>（2）有利于推进城市化进程和区域经济发展</w:t>
      </w:r>
    </w:p>
    <w:p>
      <w:pPr>
        <w:ind w:firstLine="480"/>
      </w:pPr>
      <w:r>
        <w:rPr>
          <w:rFonts w:hint="eastAsia"/>
        </w:rPr>
        <w:t>本项目建设不仅促进了当地城市建设步伐，而且与周边区域开发建设相呼应，共同促进整个投资环境的改善，也为项目区增添一道光彩，提高城市投资吸引力。同时，本项目也能够为项目以及周边地块的发展奠定基础，营造良好的经济文化氛围，吸引大量资金投入，带来更多人才，良性循环发展，带动周边的土地溢价。</w:t>
      </w:r>
    </w:p>
    <w:p>
      <w:pPr>
        <w:ind w:firstLine="480"/>
      </w:pPr>
      <w:r>
        <w:rPr>
          <w:rFonts w:hint="eastAsia"/>
        </w:rPr>
        <w:t>结合实际情况，通过统一的规划设计和建设，提高土地利用效率，该项目的建设，对美化城市形象有一定的促进作用，有利于城市经济规模的进一步扩大，区域经济结构得到进一步优化，对区域经济和社会发展将起到极大的推动作用。</w:t>
      </w:r>
    </w:p>
    <w:p>
      <w:pPr>
        <w:ind w:firstLine="480"/>
      </w:pPr>
      <w:r>
        <w:rPr>
          <w:rFonts w:hint="eastAsia"/>
        </w:rPr>
        <w:t>（3）有利于强化财政，增加就业机会</w:t>
      </w:r>
    </w:p>
    <w:p>
      <w:pPr>
        <w:ind w:firstLine="480"/>
      </w:pPr>
      <w:bookmarkStart w:id="79" w:name="_Toc7933"/>
      <w:r>
        <w:rPr>
          <w:rFonts w:hint="eastAsia"/>
        </w:rPr>
        <w:t>本项目投资较大，经营期内可向政府缴纳一定税费，对当地的财政贡献较大，显示出其较为显著的社会效益。当地具有的大量剩余劳动力，能很好的解决项目就业问题。项目建设有助于拉动内需，增加就业岗位。本项目建设期为社会提供一定数量的直接就业机会和间接就业机会。项目正式运营后，为社会创造大量就业岗位。同时，本项目工程建设的实施，有利于带动周边地块的开发利用，促进产业的发展，可以增加就业岗位。因此，本项目可为缓解新都区就业做出积极的贡献。</w:t>
      </w:r>
    </w:p>
    <w:p>
      <w:pPr>
        <w:ind w:firstLine="602"/>
        <w:rPr>
          <w:rStyle w:val="37"/>
          <w:rFonts w:cs="仿宋"/>
          <w:sz w:val="30"/>
          <w:szCs w:val="30"/>
        </w:rPr>
      </w:pPr>
      <w:r>
        <w:rPr>
          <w:rFonts w:hint="eastAsia" w:cs="仿宋"/>
          <w:b/>
          <w:sz w:val="30"/>
          <w:szCs w:val="30"/>
        </w:rPr>
        <w:t>鉴于此，我们认为本项目是具有一定收益的公益性项目。</w:t>
      </w:r>
      <w:bookmarkEnd w:id="79"/>
    </w:p>
    <w:p>
      <w:pPr>
        <w:pStyle w:val="6"/>
        <w:numPr>
          <w:ilvl w:val="0"/>
          <w:numId w:val="5"/>
        </w:numPr>
      </w:pPr>
      <w:bookmarkStart w:id="80" w:name="_Toc13700"/>
      <w:bookmarkStart w:id="81" w:name="_Toc22357"/>
      <w:r>
        <w:rPr>
          <w:rFonts w:hint="eastAsia" w:cs="仿宋"/>
        </w:rPr>
        <w:t>专项债券事前绩效目标</w:t>
      </w:r>
      <w:bookmarkEnd w:id="80"/>
      <w:bookmarkEnd w:id="81"/>
    </w:p>
    <w:p>
      <w:pPr>
        <w:ind w:firstLine="480"/>
      </w:pPr>
      <w:r>
        <w:rPr>
          <w:rFonts w:hint="eastAsia"/>
        </w:rPr>
        <w:t>为贯彻落实党中央、国务院和省委、省政府决策部署，加强地方政府专项债券项目绩效管理，提高专项债券资金使用效益，根据《财政部关于印发&lt;地方政府专项债券项目资金绩效管理办法&gt;的通知》（财预〔2021〕61号），本项目通过查阅资料、专家咨询、实地调研等多种方式，开展专项债券事前绩效评估工作，对立项的必要性、项目绩效的可实现性、项目实施方案的有效性、财政资金投入的可行性及风险等方面进行了论证，形成了该项目的评估结论。</w:t>
      </w:r>
    </w:p>
    <w:p>
      <w:pPr>
        <w:ind w:firstLine="480"/>
      </w:pPr>
      <w:r>
        <w:rPr>
          <w:rFonts w:hint="eastAsia"/>
        </w:rPr>
        <w:t>项目绩效目标包括总体绩效目标和年度绩效目标，分别反映项目在专项债券存续期内预期总体绩效和分年度绩效。本项目的总体绩效目标包括完成项目建设施工；债券存续期内实现年度收支平衡和总体收支平衡；带动区域协同发展，提升区域经济发展水平和群众生活质量等。本项目年度目标包括按计划完成项目资金筹措与投资；按计划完成年度建设进度；带动当地就业，促进民生发展等。</w:t>
      </w:r>
    </w:p>
    <w:p>
      <w:pPr>
        <w:ind w:firstLine="480"/>
      </w:pPr>
      <w:r>
        <w:t>经评估，该项目绩效目标明确，计划进度清晰，政策依据充分，实施条件具备，</w:t>
      </w:r>
      <w:r>
        <w:rPr>
          <w:rFonts w:hint="eastAsia"/>
          <w:b/>
          <w:bCs/>
        </w:rPr>
        <w:t>该项目事前绩效评估的总体意见为建议支持类（含建议支持或建议支持并调整完善）。</w:t>
      </w:r>
      <w:r>
        <w:rPr>
          <w:rFonts w:hint="eastAsia"/>
        </w:rPr>
        <w:t>根据事前绩效评估，建议该项目加强全流程的项目管理，制定风险管控措施，有序推进项目实施。依据项目内容和管理要求，尽快建立相应的项目管理制度，完善相关业务管理办法，建立有效的质量管控。</w:t>
      </w:r>
      <w:bookmarkEnd w:id="39"/>
    </w:p>
    <w:p>
      <w:pPr>
        <w:ind w:firstLine="480"/>
      </w:pPr>
    </w:p>
    <w:p>
      <w:pPr>
        <w:widowControl/>
        <w:spacing w:line="240" w:lineRule="auto"/>
        <w:ind w:firstLine="0" w:firstLineChars="0"/>
        <w:jc w:val="left"/>
        <w:rPr>
          <w:rFonts w:cs="仿宋"/>
          <w:b/>
          <w:sz w:val="30"/>
          <w:szCs w:val="30"/>
        </w:rPr>
      </w:pPr>
    </w:p>
    <w:p>
      <w:pPr>
        <w:pStyle w:val="5"/>
        <w:rPr>
          <w:rFonts w:cs="仿宋"/>
        </w:rPr>
      </w:pPr>
      <w:bookmarkStart w:id="82" w:name="_Toc3376"/>
      <w:bookmarkStart w:id="83" w:name="_Toc55468461"/>
      <w:bookmarkStart w:id="84" w:name="_Toc20531"/>
      <w:bookmarkStart w:id="85" w:name="_Toc16419"/>
      <w:r>
        <w:rPr>
          <w:rFonts w:hint="eastAsia" w:cs="仿宋"/>
        </w:rPr>
        <w:t>二、经济社会效益分析</w:t>
      </w:r>
      <w:bookmarkEnd w:id="82"/>
      <w:bookmarkEnd w:id="83"/>
      <w:bookmarkEnd w:id="84"/>
      <w:bookmarkEnd w:id="85"/>
    </w:p>
    <w:p>
      <w:pPr>
        <w:pStyle w:val="6"/>
      </w:pPr>
      <w:bookmarkStart w:id="86" w:name="_Toc28810"/>
      <w:bookmarkStart w:id="87" w:name="_Toc55468462"/>
      <w:bookmarkStart w:id="88" w:name="_Toc28176"/>
      <w:bookmarkStart w:id="89" w:name="_Toc1771"/>
      <w:r>
        <w:rPr>
          <w:rFonts w:hint="eastAsia"/>
        </w:rPr>
        <w:t>（一）经济效益分析</w:t>
      </w:r>
      <w:bookmarkEnd w:id="86"/>
      <w:bookmarkEnd w:id="87"/>
      <w:bookmarkEnd w:id="88"/>
      <w:bookmarkEnd w:id="89"/>
    </w:p>
    <w:p>
      <w:pPr>
        <w:pStyle w:val="7"/>
      </w:pPr>
      <w:bookmarkStart w:id="90" w:name="_Toc13265"/>
      <w:bookmarkStart w:id="91" w:name="_Toc28014"/>
      <w:bookmarkStart w:id="92" w:name="_Toc3072"/>
      <w:r>
        <w:rPr>
          <w:rFonts w:hint="eastAsia"/>
        </w:rPr>
        <w:t>1.带动相关行业，促进经济平稳发展</w:t>
      </w:r>
      <w:bookmarkEnd w:id="90"/>
      <w:bookmarkEnd w:id="91"/>
    </w:p>
    <w:p>
      <w:pPr>
        <w:ind w:firstLine="480"/>
      </w:pPr>
      <w:r>
        <w:rPr>
          <w:rFonts w:hint="eastAsia"/>
        </w:rPr>
        <w:t>本项目建设规模较大，该项目的建设将在一定程度上带动当地建筑业、建材业、金融保险业等行业的发展，为新都区经济发展、城乡一体化建设过程中做出重要贡献。</w:t>
      </w:r>
    </w:p>
    <w:p>
      <w:pPr>
        <w:ind w:firstLine="480"/>
      </w:pPr>
      <w:r>
        <w:rPr>
          <w:rFonts w:hint="eastAsia"/>
        </w:rPr>
        <w:t>本项目投资大，经营期长，加快城市发展必将拉动周边区域的地块升级，同时刺激区域经济增长，提高周边区域本身自我积累的能力，实现基础设施带动经济，是促进项目周边地区经济发展的重要措施。而项目的营业收入不仅为企业带来良好的经济收益，而且可以增加地方财政收入，利于国民收入再分配，反哺社会，造福于民。同时，本项目在一定程度上促进当地产业的发展。项目建成后能为以后项目区不仅提供良好基础设施条件，还有利于改善城区投资环境，促进经济的进一步发展，带动沿线土地增值，更有利于提高招商引资的力度，改善城市的投资环境。</w:t>
      </w:r>
    </w:p>
    <w:p>
      <w:pPr>
        <w:pStyle w:val="7"/>
      </w:pPr>
      <w:bookmarkStart w:id="93" w:name="_Toc2302"/>
      <w:bookmarkStart w:id="94" w:name="_Toc15459"/>
      <w:r>
        <w:rPr>
          <w:rFonts w:hint="eastAsia"/>
        </w:rPr>
        <w:t>2.促进当地经济发展，积极扩大就业需求</w:t>
      </w:r>
      <w:bookmarkEnd w:id="92"/>
      <w:bookmarkEnd w:id="93"/>
      <w:bookmarkEnd w:id="94"/>
    </w:p>
    <w:p>
      <w:pPr>
        <w:ind w:firstLine="480"/>
        <w:rPr>
          <w:rFonts w:cs="仿宋"/>
        </w:rPr>
      </w:pPr>
      <w:r>
        <w:rPr>
          <w:rFonts w:hint="eastAsia" w:cs="仿宋"/>
        </w:rPr>
        <w:t>本项目总投资估算为101701.06万元，可实现项目收入228074.42万元，净利润30142.28万元，偿还当年到期的专项债券本息后，将有33670.59万元的累计现金结余,能够实现项目收益和融资自求平衡。有利于推动城市化进程，同时也适应区域经济社会发展的需要。</w:t>
      </w:r>
    </w:p>
    <w:p>
      <w:pPr>
        <w:ind w:firstLine="480"/>
        <w:rPr>
          <w:rFonts w:cs="仿宋"/>
        </w:rPr>
      </w:pPr>
      <w:r>
        <w:rPr>
          <w:rFonts w:hint="eastAsia" w:cs="仿宋"/>
        </w:rPr>
        <w:t>目前，我国就业形势严峻，千方百计扩大就业、增加就业岗位是保障和改善民生的头等大事，项目的建设和营运将在一定程度上扩大当地就业。基础设施建设是劳动密集型项目，需要投入大量的人力、物力；建设期间将增加对建筑材料的需求；项目建成后，将会增加对相关工作人员的需求，提供大量工作岗位，创造更多的就业机会。</w:t>
      </w:r>
    </w:p>
    <w:p>
      <w:pPr>
        <w:pStyle w:val="6"/>
      </w:pPr>
      <w:bookmarkStart w:id="95" w:name="_Toc13161"/>
      <w:bookmarkStart w:id="96" w:name="_Toc25480"/>
      <w:bookmarkStart w:id="97" w:name="_Toc8324"/>
      <w:bookmarkStart w:id="98" w:name="_Toc55468463"/>
      <w:r>
        <w:rPr>
          <w:rFonts w:hint="eastAsia"/>
        </w:rPr>
        <w:t>（二）社会效益分析</w:t>
      </w:r>
      <w:bookmarkEnd w:id="95"/>
      <w:bookmarkEnd w:id="96"/>
      <w:bookmarkEnd w:id="97"/>
      <w:bookmarkEnd w:id="98"/>
    </w:p>
    <w:p>
      <w:pPr>
        <w:pStyle w:val="7"/>
      </w:pPr>
      <w:bookmarkStart w:id="99" w:name="_Toc14243"/>
      <w:bookmarkStart w:id="100" w:name="_Toc33263081"/>
      <w:bookmarkStart w:id="101" w:name="_Toc25576"/>
      <w:bookmarkStart w:id="102" w:name="_Toc11077"/>
      <w:bookmarkStart w:id="103" w:name="_Toc15527"/>
      <w:bookmarkStart w:id="104" w:name="_Toc6291"/>
      <w:r>
        <w:rPr>
          <w:rFonts w:hint="eastAsia"/>
        </w:rPr>
        <w:t>1.</w:t>
      </w:r>
      <w:bookmarkEnd w:id="99"/>
      <w:bookmarkEnd w:id="100"/>
      <w:bookmarkEnd w:id="101"/>
      <w:bookmarkEnd w:id="102"/>
      <w:r>
        <w:rPr>
          <w:rFonts w:hint="eastAsia"/>
        </w:rPr>
        <w:t>补齐网通产业链短板，加快推动网通产业集群集聚发展</w:t>
      </w:r>
      <w:bookmarkEnd w:id="103"/>
      <w:bookmarkEnd w:id="104"/>
    </w:p>
    <w:p>
      <w:pPr>
        <w:ind w:firstLine="480"/>
      </w:pPr>
      <w:r>
        <w:rPr>
          <w:rFonts w:hint="eastAsia"/>
        </w:rPr>
        <w:t>石板滩街道处于“中优”“北改”“东进”战略影响叠加区，是新都现代交通产业功能区核心区，同时也是全市确定的66个产业功能区之一，正聚力打造世界一流科技制造创新基地。</w:t>
      </w:r>
    </w:p>
    <w:p>
      <w:pPr>
        <w:ind w:firstLine="480"/>
      </w:pPr>
      <w:r>
        <w:rPr>
          <w:rFonts w:hint="eastAsia"/>
        </w:rPr>
        <w:t>现代交通产业功能区微网优联基础设施及配套项目作为微网优联WIFI6生产研发总部基地项目二期项目，拟占地125亩的工业用地，规划5年内实现产值100亿元，并将引入5家以上的配套供应商入驻。利用微网优联资源优势，将带动更多的产业链企业和合作伙伴落地新都、扎根新都，加快网通产业集群集聚发展，打造网通产业第二极，促进新都产业能级升级。</w:t>
      </w:r>
    </w:p>
    <w:p>
      <w:pPr>
        <w:pStyle w:val="7"/>
      </w:pPr>
      <w:bookmarkStart w:id="105" w:name="_Toc28891"/>
      <w:bookmarkStart w:id="106" w:name="_Toc15550"/>
      <w:bookmarkStart w:id="107" w:name="_Toc21059"/>
      <w:r>
        <w:rPr>
          <w:rFonts w:hint="eastAsia"/>
        </w:rPr>
        <w:t>2.</w:t>
      </w:r>
      <w:bookmarkEnd w:id="105"/>
      <w:r>
        <w:rPr>
          <w:rFonts w:hint="eastAsia"/>
        </w:rPr>
        <w:t>有利于打造优质营商环境，推动网通产业高质量发展</w:t>
      </w:r>
      <w:bookmarkEnd w:id="106"/>
      <w:bookmarkEnd w:id="107"/>
    </w:p>
    <w:p>
      <w:pPr>
        <w:ind w:firstLine="480"/>
      </w:pPr>
      <w:r>
        <w:rPr>
          <w:rFonts w:hint="eastAsia"/>
        </w:rPr>
        <w:t>新都区以优惠政策为导向，通过招商引资引进具有龙头带动效应的大项目、高端项目，以增量优化产业结构，促进产业转型升级，推动新都区网通产业高质量发展。</w:t>
      </w:r>
    </w:p>
    <w:p>
      <w:pPr>
        <w:ind w:firstLine="480"/>
      </w:pPr>
      <w:r>
        <w:rPr>
          <w:rFonts w:hint="eastAsia"/>
        </w:rPr>
        <w:t>微网优联作为网通产业先进制造业的代表落地新都，以智能制造为抓手，积极发展电子信息产业，将新一代网络通信技术与生产制造深度融合，构建覆盖全产业链的服务体系，通过人、机、物、系统等 的全面连接，为产业的四化建设和发展提供新型基础设施、应用模式和工业生态。</w:t>
      </w:r>
    </w:p>
    <w:p>
      <w:pPr>
        <w:ind w:firstLine="480"/>
      </w:pPr>
      <w:r>
        <w:rPr>
          <w:rFonts w:hint="eastAsia"/>
        </w:rPr>
        <w:t>本项目的建成有利于新都区打造优质的营商环境，进一步发挥链主企业的带动和示范作用，推动新都区网通产业高质量发展。</w:t>
      </w:r>
    </w:p>
    <w:p>
      <w:pPr>
        <w:pStyle w:val="7"/>
      </w:pPr>
      <w:bookmarkStart w:id="108" w:name="_Toc29256"/>
      <w:bookmarkStart w:id="109" w:name="_Toc23796"/>
      <w:bookmarkStart w:id="110" w:name="_Toc32292"/>
      <w:r>
        <w:rPr>
          <w:rFonts w:hint="eastAsia"/>
        </w:rPr>
        <w:t>3.</w:t>
      </w:r>
      <w:bookmarkEnd w:id="108"/>
      <w:r>
        <w:rPr>
          <w:rFonts w:hint="eastAsia"/>
        </w:rPr>
        <w:t>推动城市建设，保持社会稳定</w:t>
      </w:r>
      <w:bookmarkEnd w:id="109"/>
      <w:bookmarkEnd w:id="110"/>
    </w:p>
    <w:p>
      <w:pPr>
        <w:ind w:firstLine="480"/>
      </w:pPr>
      <w:r>
        <w:rPr>
          <w:rFonts w:hint="eastAsia"/>
        </w:rPr>
        <w:t>本项目建设不仅促进了当地城市建设步伐，而且与周边区域开发建设相呼应，共同促进整个投资环境的改善，也为项目区增添一道光彩，提高城市投资吸引力。同时，本项目也能够为项目以及周边地块的发展奠定基础，营造良好的经济文化氛围，吸引大量资金投入，带来更多人才，良性循环发展，带动周边的土地溢价。</w:t>
      </w:r>
    </w:p>
    <w:p>
      <w:pPr>
        <w:ind w:firstLine="480"/>
      </w:pPr>
      <w:r>
        <w:rPr>
          <w:rFonts w:hint="eastAsia"/>
        </w:rPr>
        <w:t>结合实际情况，通过统一的规划设计和建设，提高土地利用效率，该项目的建设，对美化城市形象有一定的促进作用，有利于城市经济规模的进一步扩大，区域经济结构得到进一步优化，对区域经济和社会发展将起到极大的推动作用。</w:t>
      </w:r>
    </w:p>
    <w:p>
      <w:pPr>
        <w:ind w:firstLine="480"/>
      </w:pPr>
      <w:r>
        <w:rPr>
          <w:rFonts w:hint="eastAsia"/>
        </w:rPr>
        <w:t>项目的建设不单是改善当地居民生产生活环境，更重要的是要促进城市生产要素的流动，产业链条向外延伸，带动居民就地转移就业，促进城市周边的发展、增效和增收，是落实科学发展观、统筹城乡发展、构建和谐社会的具体体现。</w:t>
      </w:r>
    </w:p>
    <w:p>
      <w:pPr>
        <w:ind w:firstLine="480"/>
      </w:pPr>
      <w:r>
        <w:br w:type="page"/>
      </w:r>
    </w:p>
    <w:p>
      <w:pPr>
        <w:pStyle w:val="5"/>
      </w:pPr>
      <w:bookmarkStart w:id="111" w:name="_Toc24292_WPSOffice_Level1"/>
      <w:bookmarkStart w:id="112" w:name="_Toc20648307"/>
      <w:bookmarkStart w:id="113" w:name="_Toc10850"/>
      <w:bookmarkStart w:id="114" w:name="_Toc30571"/>
      <w:bookmarkStart w:id="115" w:name="_Toc14717"/>
      <w:bookmarkStart w:id="116" w:name="_Toc28617784"/>
      <w:bookmarkStart w:id="117" w:name="_Toc3843"/>
      <w:bookmarkStart w:id="118" w:name="_Toc55468464"/>
      <w:r>
        <w:rPr>
          <w:rFonts w:hint="eastAsia"/>
        </w:rPr>
        <w:t>三、项目投资</w:t>
      </w:r>
      <w:bookmarkEnd w:id="111"/>
      <w:bookmarkEnd w:id="112"/>
      <w:r>
        <w:rPr>
          <w:rFonts w:hint="eastAsia"/>
        </w:rPr>
        <w:t>测算</w:t>
      </w:r>
      <w:bookmarkEnd w:id="113"/>
      <w:bookmarkEnd w:id="114"/>
      <w:bookmarkEnd w:id="115"/>
      <w:bookmarkEnd w:id="116"/>
      <w:bookmarkEnd w:id="117"/>
      <w:bookmarkEnd w:id="118"/>
    </w:p>
    <w:p>
      <w:pPr>
        <w:pStyle w:val="6"/>
      </w:pPr>
      <w:bookmarkStart w:id="119" w:name="_Toc1829"/>
      <w:bookmarkStart w:id="120" w:name="_Toc55468465"/>
      <w:bookmarkStart w:id="121" w:name="_Toc20457"/>
      <w:bookmarkStart w:id="122" w:name="_Toc15776"/>
      <w:bookmarkStart w:id="123" w:name="_Toc9318"/>
      <w:bookmarkStart w:id="124" w:name="_Toc29731"/>
      <w:r>
        <w:rPr>
          <w:rFonts w:hint="eastAsia"/>
        </w:rPr>
        <w:t>（一）投资估算</w:t>
      </w:r>
      <w:bookmarkEnd w:id="119"/>
      <w:bookmarkEnd w:id="120"/>
      <w:bookmarkEnd w:id="121"/>
      <w:bookmarkEnd w:id="122"/>
      <w:bookmarkEnd w:id="123"/>
      <w:bookmarkEnd w:id="124"/>
    </w:p>
    <w:p>
      <w:pPr>
        <w:pStyle w:val="7"/>
        <w:rPr>
          <w:rFonts w:cs="仿宋"/>
        </w:rPr>
      </w:pPr>
      <w:bookmarkStart w:id="125" w:name="_Toc21910"/>
      <w:bookmarkStart w:id="126" w:name="_Toc2848"/>
      <w:bookmarkStart w:id="127" w:name="_Toc15176"/>
      <w:bookmarkStart w:id="128" w:name="_Toc3834"/>
      <w:bookmarkStart w:id="129" w:name="_Toc15290"/>
      <w:bookmarkStart w:id="130" w:name="_Toc26869"/>
      <w:bookmarkStart w:id="131" w:name="_Toc20648309"/>
      <w:bookmarkStart w:id="132" w:name="_Toc32452_WPSOffice_Level2"/>
      <w:bookmarkStart w:id="133" w:name="_Toc28617786"/>
      <w:r>
        <w:rPr>
          <w:rFonts w:hint="eastAsia" w:cs="仿宋"/>
          <w:szCs w:val="20"/>
        </w:rPr>
        <w:t>1.</w:t>
      </w:r>
      <w:r>
        <w:rPr>
          <w:rFonts w:hint="eastAsia" w:cs="仿宋"/>
        </w:rPr>
        <w:t>编制依据</w:t>
      </w:r>
      <w:bookmarkEnd w:id="125"/>
      <w:bookmarkEnd w:id="126"/>
      <w:bookmarkEnd w:id="127"/>
      <w:bookmarkEnd w:id="128"/>
      <w:bookmarkEnd w:id="129"/>
    </w:p>
    <w:p>
      <w:pPr>
        <w:ind w:firstLine="480"/>
      </w:pPr>
      <w:r>
        <w:rPr>
          <w:rFonts w:hint="eastAsia"/>
        </w:rPr>
        <w:t>（1）《四川省建设工程量清单计价定额》2015年；</w:t>
      </w:r>
    </w:p>
    <w:p>
      <w:pPr>
        <w:ind w:firstLine="480"/>
      </w:pPr>
      <w:r>
        <w:rPr>
          <w:rFonts w:hint="eastAsia"/>
        </w:rPr>
        <w:t>（2）《建设项目经济评价方法与参数》（第三版）；</w:t>
      </w:r>
    </w:p>
    <w:p>
      <w:pPr>
        <w:ind w:firstLine="480"/>
      </w:pPr>
      <w:r>
        <w:rPr>
          <w:rFonts w:hint="eastAsia"/>
        </w:rPr>
        <w:t>（3）有关建（构）筑物的相关造价估算指标；</w:t>
      </w:r>
    </w:p>
    <w:p>
      <w:pPr>
        <w:ind w:firstLine="480"/>
      </w:pPr>
      <w:r>
        <w:rPr>
          <w:rFonts w:hint="eastAsia"/>
        </w:rPr>
        <w:t>（4）建设工程费用的相关配套文件；</w:t>
      </w:r>
    </w:p>
    <w:p>
      <w:pPr>
        <w:ind w:firstLine="480"/>
      </w:pPr>
      <w:r>
        <w:rPr>
          <w:rFonts w:hint="eastAsia"/>
        </w:rPr>
        <w:t>（5）国家及地方颁布的有关政策、法规、定额、税费等文件；</w:t>
      </w:r>
    </w:p>
    <w:p>
      <w:pPr>
        <w:ind w:firstLine="480"/>
      </w:pPr>
      <w:r>
        <w:rPr>
          <w:rFonts w:hint="eastAsia"/>
        </w:rPr>
        <w:t>（6）主要材料设备现行市场价格；</w:t>
      </w:r>
    </w:p>
    <w:p>
      <w:pPr>
        <w:ind w:firstLine="480"/>
      </w:pPr>
      <w:r>
        <w:rPr>
          <w:rFonts w:hint="eastAsia"/>
        </w:rPr>
        <w:t>（7）业主提供的资料；</w:t>
      </w:r>
    </w:p>
    <w:p>
      <w:pPr>
        <w:ind w:firstLine="480"/>
      </w:pPr>
      <w:r>
        <w:rPr>
          <w:rFonts w:hint="eastAsia"/>
        </w:rPr>
        <w:t>（8）《石板滩工业集中发展区产业发展规划（2017-2035）（终稿）》；</w:t>
      </w:r>
    </w:p>
    <w:p>
      <w:pPr>
        <w:ind w:firstLine="480"/>
      </w:pPr>
      <w:r>
        <w:rPr>
          <w:rFonts w:hint="eastAsia"/>
        </w:rPr>
        <w:t>（9）其他相关资料。</w:t>
      </w:r>
    </w:p>
    <w:p>
      <w:pPr>
        <w:pStyle w:val="7"/>
        <w:rPr>
          <w:rFonts w:cs="仿宋"/>
        </w:rPr>
      </w:pPr>
      <w:bookmarkStart w:id="134" w:name="_Toc8373"/>
      <w:bookmarkStart w:id="135" w:name="_Toc26536"/>
      <w:bookmarkStart w:id="136" w:name="_Toc11148"/>
      <w:bookmarkStart w:id="137" w:name="_Toc18970"/>
      <w:bookmarkStart w:id="138" w:name="_Toc3042"/>
      <w:r>
        <w:rPr>
          <w:rFonts w:hint="eastAsia" w:cs="仿宋"/>
        </w:rPr>
        <w:t>2.估算说明</w:t>
      </w:r>
      <w:bookmarkEnd w:id="134"/>
      <w:bookmarkEnd w:id="135"/>
      <w:bookmarkEnd w:id="136"/>
      <w:bookmarkEnd w:id="137"/>
      <w:bookmarkEnd w:id="138"/>
    </w:p>
    <w:p>
      <w:pPr>
        <w:ind w:firstLine="480"/>
      </w:pPr>
      <w:r>
        <w:rPr>
          <w:rFonts w:hint="eastAsia"/>
        </w:rPr>
        <w:t>（1）建设工程直接费</w:t>
      </w:r>
    </w:p>
    <w:p>
      <w:pPr>
        <w:ind w:firstLine="480"/>
      </w:pPr>
      <w:r>
        <w:rPr>
          <w:rFonts w:hint="eastAsia"/>
        </w:rPr>
        <w:t>建筑工程按照2020年《四川省建筑工程量清单计价定额》和当地三材价格标准，并参考同类建筑目前造价，测算出单位建筑面积估算指标进行估算。</w:t>
      </w:r>
    </w:p>
    <w:p>
      <w:pPr>
        <w:numPr>
          <w:ilvl w:val="0"/>
          <w:numId w:val="6"/>
        </w:numPr>
        <w:ind w:firstLine="480"/>
      </w:pPr>
      <w:r>
        <w:rPr>
          <w:rFonts w:hint="eastAsia"/>
        </w:rPr>
        <w:t>工程建设其他费</w:t>
      </w:r>
    </w:p>
    <w:tbl>
      <w:tblPr>
        <w:tblStyle w:val="32"/>
        <w:tblW w:w="8862" w:type="dxa"/>
        <w:jc w:val="center"/>
        <w:tblLayout w:type="fixed"/>
        <w:tblCellMar>
          <w:top w:w="0" w:type="dxa"/>
          <w:left w:w="108" w:type="dxa"/>
          <w:bottom w:w="0" w:type="dxa"/>
          <w:right w:w="108" w:type="dxa"/>
        </w:tblCellMar>
      </w:tblPr>
      <w:tblGrid>
        <w:gridCol w:w="775"/>
        <w:gridCol w:w="2625"/>
        <w:gridCol w:w="5462"/>
      </w:tblGrid>
      <w:tr>
        <w:tblPrEx>
          <w:tblCellMar>
            <w:top w:w="0" w:type="dxa"/>
            <w:left w:w="108" w:type="dxa"/>
            <w:bottom w:w="0" w:type="dxa"/>
            <w:right w:w="108" w:type="dxa"/>
          </w:tblCellMar>
        </w:tblPrEx>
        <w:trPr>
          <w:trHeight w:val="300" w:hRule="atLeast"/>
          <w:jc w:val="center"/>
        </w:trPr>
        <w:tc>
          <w:tcPr>
            <w:tcW w:w="775" w:type="dxa"/>
            <w:tcBorders>
              <w:top w:val="single" w:color="auto" w:sz="4" w:space="0"/>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b/>
                <w:bCs/>
                <w:kern w:val="0"/>
                <w:sz w:val="18"/>
                <w:szCs w:val="18"/>
              </w:rPr>
            </w:pPr>
            <w:r>
              <w:rPr>
                <w:rFonts w:hint="eastAsia" w:cs="仿宋"/>
                <w:b/>
                <w:bCs/>
                <w:kern w:val="0"/>
                <w:sz w:val="18"/>
                <w:szCs w:val="18"/>
              </w:rPr>
              <w:t>序号</w:t>
            </w:r>
          </w:p>
        </w:tc>
        <w:tc>
          <w:tcPr>
            <w:tcW w:w="2625" w:type="dxa"/>
            <w:tcBorders>
              <w:top w:val="single" w:color="auto" w:sz="4" w:space="0"/>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b/>
                <w:bCs/>
                <w:kern w:val="0"/>
                <w:sz w:val="18"/>
                <w:szCs w:val="18"/>
              </w:rPr>
            </w:pPr>
            <w:r>
              <w:rPr>
                <w:rFonts w:hint="eastAsia" w:cs="仿宋"/>
                <w:b/>
                <w:bCs/>
                <w:kern w:val="0"/>
                <w:sz w:val="18"/>
                <w:szCs w:val="18"/>
              </w:rPr>
              <w:t>工程建设其他费用</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依据</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建设用地费</w:t>
            </w:r>
          </w:p>
        </w:tc>
        <w:tc>
          <w:tcPr>
            <w:tcW w:w="5462"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占地226.00亩，单价16万元/亩</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2</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城市基础设施配套费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成府发〔2008〕12号,按140元/平方米的标准执行</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3</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建设项目前期工作咨询费</w:t>
            </w:r>
          </w:p>
        </w:tc>
        <w:tc>
          <w:tcPr>
            <w:tcW w:w="5462"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根据计价格〔1999〕1283号文、发改价格〔2015〕299号文下浮20%</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可行性研究报告编制费</w:t>
            </w:r>
          </w:p>
        </w:tc>
        <w:tc>
          <w:tcPr>
            <w:tcW w:w="5462" w:type="dxa"/>
            <w:vMerge w:val="continue"/>
            <w:tcBorders>
              <w:top w:val="nil"/>
              <w:left w:val="nil"/>
              <w:bottom w:val="single" w:color="auto" w:sz="4" w:space="0"/>
              <w:right w:val="single" w:color="auto" w:sz="4" w:space="0"/>
            </w:tcBorders>
            <w:vAlign w:val="center"/>
          </w:tcPr>
          <w:p>
            <w:pPr>
              <w:widowControl/>
              <w:spacing w:line="240" w:lineRule="auto"/>
              <w:ind w:firstLine="0" w:firstLineChars="0"/>
              <w:jc w:val="left"/>
              <w:rPr>
                <w:rFonts w:cs="仿宋"/>
                <w:kern w:val="0"/>
                <w:sz w:val="18"/>
                <w:szCs w:val="18"/>
              </w:rPr>
            </w:pP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（2）</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可行性研究报告评估费</w:t>
            </w:r>
          </w:p>
        </w:tc>
        <w:tc>
          <w:tcPr>
            <w:tcW w:w="5462" w:type="dxa"/>
            <w:vMerge w:val="continue"/>
            <w:tcBorders>
              <w:top w:val="nil"/>
              <w:left w:val="nil"/>
              <w:bottom w:val="single" w:color="auto" w:sz="4" w:space="0"/>
              <w:right w:val="single" w:color="auto" w:sz="4" w:space="0"/>
            </w:tcBorders>
            <w:vAlign w:val="center"/>
          </w:tcPr>
          <w:p>
            <w:pPr>
              <w:widowControl/>
              <w:spacing w:line="240" w:lineRule="auto"/>
              <w:ind w:firstLine="0" w:firstLineChars="0"/>
              <w:jc w:val="left"/>
              <w:rPr>
                <w:rFonts w:cs="仿宋"/>
                <w:kern w:val="0"/>
                <w:sz w:val="18"/>
                <w:szCs w:val="18"/>
              </w:rPr>
            </w:pP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4</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项目建设管理费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财建〔2016〕504号文</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5</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场地准备费及临时设施费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建标〔2007〕164号文，取工程费用的0.5%</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6</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施工图审查费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　</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工程勘察费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根据建标〔2007〕164号文，按照工程费用的0.8%估算，根据发改价格〔2015〕299号文下浮20%</w:t>
            </w:r>
          </w:p>
        </w:tc>
      </w:tr>
      <w:tr>
        <w:tblPrEx>
          <w:tblCellMar>
            <w:top w:w="0" w:type="dxa"/>
            <w:left w:w="108" w:type="dxa"/>
            <w:bottom w:w="0" w:type="dxa"/>
            <w:right w:w="108" w:type="dxa"/>
          </w:tblCellMar>
        </w:tblPrEx>
        <w:trPr>
          <w:trHeight w:val="300"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（2）</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设计费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根据计价格〔2002〕10号文、发改价格〔2015〕299号文下浮20%</w:t>
            </w:r>
          </w:p>
        </w:tc>
      </w:tr>
      <w:tr>
        <w:tblPrEx>
          <w:tblCellMar>
            <w:top w:w="0" w:type="dxa"/>
            <w:left w:w="108" w:type="dxa"/>
            <w:bottom w:w="0" w:type="dxa"/>
            <w:right w:w="108" w:type="dxa"/>
          </w:tblCellMar>
        </w:tblPrEx>
        <w:trPr>
          <w:trHeight w:val="300" w:hRule="atLeast"/>
          <w:jc w:val="center"/>
        </w:trPr>
        <w:tc>
          <w:tcPr>
            <w:tcW w:w="775" w:type="dxa"/>
            <w:tcBorders>
              <w:top w:val="single" w:color="auto" w:sz="4" w:space="0"/>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7</w:t>
            </w:r>
          </w:p>
        </w:tc>
        <w:tc>
          <w:tcPr>
            <w:tcW w:w="2625"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工程建设监理费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根据发改价格〔2007〕670号文、发改价格〔2015〕299号文下浮20%</w:t>
            </w:r>
          </w:p>
        </w:tc>
      </w:tr>
      <w:tr>
        <w:tblPrEx>
          <w:tblCellMar>
            <w:top w:w="0" w:type="dxa"/>
            <w:left w:w="108" w:type="dxa"/>
            <w:bottom w:w="0" w:type="dxa"/>
            <w:right w:w="108" w:type="dxa"/>
          </w:tblCellMar>
        </w:tblPrEx>
        <w:trPr>
          <w:trHeight w:val="300" w:hRule="atLeast"/>
          <w:jc w:val="center"/>
        </w:trPr>
        <w:tc>
          <w:tcPr>
            <w:tcW w:w="775" w:type="dxa"/>
            <w:tcBorders>
              <w:top w:val="single" w:color="auto" w:sz="4" w:space="0"/>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8</w:t>
            </w:r>
          </w:p>
        </w:tc>
        <w:tc>
          <w:tcPr>
            <w:tcW w:w="2625" w:type="dxa"/>
            <w:tcBorders>
              <w:top w:val="single" w:color="auto" w:sz="4" w:space="0"/>
              <w:left w:val="nil"/>
              <w:bottom w:val="single" w:color="auto" w:sz="4" w:space="0"/>
              <w:right w:val="single" w:color="auto" w:sz="4" w:space="0"/>
            </w:tcBorders>
            <w:shd w:val="clear" w:color="000000" w:fill="FFFFFF"/>
            <w:vAlign w:val="center"/>
          </w:tcPr>
          <w:p>
            <w:pPr>
              <w:widowControl/>
              <w:spacing w:line="240" w:lineRule="auto"/>
              <w:ind w:firstLine="0" w:firstLineChars="0"/>
              <w:jc w:val="left"/>
              <w:rPr>
                <w:rFonts w:cs="仿宋"/>
                <w:kern w:val="0"/>
                <w:sz w:val="18"/>
                <w:szCs w:val="18"/>
              </w:rPr>
            </w:pPr>
            <w:r>
              <w:rPr>
                <w:rFonts w:hint="eastAsia" w:cs="仿宋"/>
                <w:kern w:val="0"/>
                <w:sz w:val="18"/>
                <w:szCs w:val="18"/>
              </w:rPr>
              <w:t>施工图技术审查费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按川发改价格〔2011〕323号文计，按1.8元/平方米计</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9</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环境影响咨询服务费</w:t>
            </w:r>
          </w:p>
        </w:tc>
        <w:tc>
          <w:tcPr>
            <w:tcW w:w="5462" w:type="dxa"/>
            <w:tcBorders>
              <w:top w:val="single" w:color="auto" w:sz="4" w:space="0"/>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根据计价格〔2002〕125号文、发改价格〔2015〕299号文下浮20%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10</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建设工程造价咨询服务费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根据计价格〔2002〕125号文、发改价格〔2015〕299号文下浮20%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工程量清单及控制价编制</w:t>
            </w:r>
          </w:p>
        </w:tc>
        <w:tc>
          <w:tcPr>
            <w:tcW w:w="5462" w:type="dxa"/>
            <w:vMerge w:val="restart"/>
            <w:tcBorders>
              <w:top w:val="single" w:color="auto" w:sz="4" w:space="0"/>
              <w:left w:val="single" w:color="auto" w:sz="4" w:space="0"/>
              <w:bottom w:val="single" w:color="000000"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川价发〔2008〕141号，发改价格〔2015〕299号文下浮20%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（2）</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审核工程预算（招标控制或标底）费</w:t>
            </w:r>
          </w:p>
        </w:tc>
        <w:tc>
          <w:tcPr>
            <w:tcW w:w="5462" w:type="dxa"/>
            <w:vMerge w:val="continue"/>
            <w:tcBorders>
              <w:top w:val="nil"/>
              <w:left w:val="nil"/>
              <w:bottom w:val="single" w:color="auto" w:sz="4" w:space="0"/>
              <w:right w:val="single" w:color="auto" w:sz="4" w:space="0"/>
            </w:tcBorders>
            <w:vAlign w:val="center"/>
          </w:tcPr>
          <w:p>
            <w:pPr>
              <w:widowControl/>
              <w:spacing w:line="240" w:lineRule="auto"/>
              <w:ind w:firstLine="0" w:firstLineChars="0"/>
              <w:jc w:val="left"/>
              <w:rPr>
                <w:rFonts w:cs="仿宋"/>
                <w:kern w:val="0"/>
                <w:sz w:val="18"/>
                <w:szCs w:val="18"/>
              </w:rPr>
            </w:pP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（3）</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审核竣工结算费</w:t>
            </w:r>
          </w:p>
        </w:tc>
        <w:tc>
          <w:tcPr>
            <w:tcW w:w="5462" w:type="dxa"/>
            <w:vMerge w:val="continue"/>
            <w:tcBorders>
              <w:top w:val="nil"/>
              <w:left w:val="nil"/>
              <w:bottom w:val="single" w:color="auto" w:sz="4" w:space="0"/>
              <w:right w:val="single" w:color="auto" w:sz="4" w:space="0"/>
            </w:tcBorders>
            <w:vAlign w:val="center"/>
          </w:tcPr>
          <w:p>
            <w:pPr>
              <w:widowControl/>
              <w:spacing w:line="240" w:lineRule="auto"/>
              <w:ind w:firstLine="0" w:firstLineChars="0"/>
              <w:jc w:val="left"/>
              <w:rPr>
                <w:rFonts w:cs="仿宋"/>
                <w:kern w:val="0"/>
                <w:sz w:val="18"/>
                <w:szCs w:val="18"/>
              </w:rPr>
            </w:pP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（4）</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施工阶段全过程造价控制</w:t>
            </w:r>
          </w:p>
        </w:tc>
        <w:tc>
          <w:tcPr>
            <w:tcW w:w="5462" w:type="dxa"/>
            <w:vMerge w:val="continue"/>
            <w:tcBorders>
              <w:top w:val="nil"/>
              <w:left w:val="nil"/>
              <w:bottom w:val="single" w:color="auto" w:sz="4" w:space="0"/>
              <w:right w:val="single" w:color="auto" w:sz="4" w:space="0"/>
            </w:tcBorders>
            <w:vAlign w:val="center"/>
          </w:tcPr>
          <w:p>
            <w:pPr>
              <w:widowControl/>
              <w:spacing w:line="240" w:lineRule="auto"/>
              <w:ind w:firstLine="0" w:firstLineChars="0"/>
              <w:jc w:val="left"/>
              <w:rPr>
                <w:rFonts w:cs="仿宋"/>
                <w:kern w:val="0"/>
                <w:sz w:val="18"/>
                <w:szCs w:val="18"/>
              </w:rPr>
            </w:pP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11</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招标代理服务费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根据计价格〔2002〕1980号文件，发改价格〔2015〕299号文下浮20%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12</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劳动安全卫生评审费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建标〔2007〕164号文,取工程费用的0.30%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13</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水土保持方案编制费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保监〔2005〕22号文，根据市场情况下浮20%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14</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水土保持补偿费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川发改价格〔2017〕347号</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15</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工程保险费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建标〔2007〕164号文，取工程费用的0.30%</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16</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节能评估咨询费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参照可行性研究报告编制费、评估费的70%考虑</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17</w:t>
            </w:r>
          </w:p>
        </w:tc>
        <w:tc>
          <w:tcPr>
            <w:tcW w:w="2625" w:type="dxa"/>
            <w:tcBorders>
              <w:top w:val="nil"/>
              <w:left w:val="nil"/>
              <w:bottom w:val="single" w:color="auto" w:sz="4" w:space="0"/>
              <w:right w:val="single" w:color="auto" w:sz="4" w:space="0"/>
            </w:tcBorders>
            <w:shd w:val="clear" w:color="000000" w:fill="FFFFFF"/>
            <w:noWrap/>
            <w:vAlign w:val="center"/>
          </w:tcPr>
          <w:p>
            <w:pPr>
              <w:widowControl/>
              <w:spacing w:line="240" w:lineRule="auto"/>
              <w:ind w:firstLine="0" w:firstLineChars="0"/>
              <w:jc w:val="left"/>
              <w:rPr>
                <w:rFonts w:cs="仿宋"/>
                <w:kern w:val="0"/>
                <w:sz w:val="18"/>
                <w:szCs w:val="18"/>
              </w:rPr>
            </w:pPr>
            <w:r>
              <w:rPr>
                <w:rFonts w:hint="eastAsia" w:cs="仿宋"/>
                <w:kern w:val="0"/>
                <w:sz w:val="18"/>
                <w:szCs w:val="18"/>
              </w:rPr>
              <w:t>社会稳定性风险评估报告</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暂估</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18</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地质灾害危险性评估费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暂估</w:t>
            </w:r>
          </w:p>
        </w:tc>
      </w:tr>
      <w:tr>
        <w:tblPrEx>
          <w:tblCellMar>
            <w:top w:w="0" w:type="dxa"/>
            <w:left w:w="108" w:type="dxa"/>
            <w:bottom w:w="0" w:type="dxa"/>
            <w:right w:w="108" w:type="dxa"/>
          </w:tblCellMar>
        </w:tblPrEx>
        <w:trPr>
          <w:trHeight w:val="255" w:hRule="atLeast"/>
          <w:jc w:val="center"/>
        </w:trPr>
        <w:tc>
          <w:tcPr>
            <w:tcW w:w="775" w:type="dxa"/>
            <w:tcBorders>
              <w:top w:val="nil"/>
              <w:left w:val="single" w:color="auto" w:sz="4" w:space="0"/>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19</w:t>
            </w:r>
          </w:p>
        </w:tc>
        <w:tc>
          <w:tcPr>
            <w:tcW w:w="2625" w:type="dxa"/>
            <w:tcBorders>
              <w:top w:val="nil"/>
              <w:left w:val="nil"/>
              <w:bottom w:val="single" w:color="auto" w:sz="4" w:space="0"/>
              <w:right w:val="single" w:color="auto" w:sz="4" w:space="0"/>
            </w:tcBorders>
            <w:shd w:val="clear" w:color="000000" w:fill="FFFFFF"/>
            <w:noWrap/>
            <w:vAlign w:val="bottom"/>
          </w:tcPr>
          <w:p>
            <w:pPr>
              <w:widowControl/>
              <w:spacing w:line="240" w:lineRule="auto"/>
              <w:ind w:firstLine="0" w:firstLineChars="0"/>
              <w:jc w:val="left"/>
              <w:rPr>
                <w:rFonts w:cs="仿宋"/>
                <w:kern w:val="0"/>
                <w:sz w:val="18"/>
                <w:szCs w:val="18"/>
              </w:rPr>
            </w:pPr>
            <w:r>
              <w:rPr>
                <w:rFonts w:hint="eastAsia" w:cs="仿宋"/>
                <w:kern w:val="0"/>
                <w:sz w:val="18"/>
                <w:szCs w:val="18"/>
              </w:rPr>
              <w:t>检测费</w:t>
            </w:r>
          </w:p>
        </w:tc>
        <w:tc>
          <w:tcPr>
            <w:tcW w:w="5462" w:type="dxa"/>
            <w:tcBorders>
              <w:top w:val="single" w:color="auto" w:sz="4" w:space="0"/>
              <w:left w:val="nil"/>
              <w:bottom w:val="single" w:color="auto" w:sz="4" w:space="0"/>
              <w:right w:val="single" w:color="000000" w:sz="4" w:space="0"/>
            </w:tcBorders>
            <w:shd w:val="clear" w:color="000000" w:fill="FFFFFF"/>
            <w:vAlign w:val="center"/>
          </w:tcPr>
          <w:p>
            <w:pPr>
              <w:widowControl/>
              <w:spacing w:line="240" w:lineRule="auto"/>
              <w:ind w:firstLine="0" w:firstLineChars="0"/>
              <w:jc w:val="center"/>
              <w:rPr>
                <w:rFonts w:cs="仿宋"/>
                <w:kern w:val="0"/>
                <w:sz w:val="18"/>
                <w:szCs w:val="18"/>
              </w:rPr>
            </w:pPr>
            <w:r>
              <w:rPr>
                <w:rFonts w:hint="eastAsia" w:cs="仿宋"/>
                <w:kern w:val="0"/>
                <w:sz w:val="18"/>
                <w:szCs w:val="18"/>
              </w:rPr>
              <w:t>建标〔2007〕164号文，取工程费用的0.40%</w:t>
            </w:r>
          </w:p>
        </w:tc>
      </w:tr>
    </w:tbl>
    <w:p>
      <w:pPr>
        <w:ind w:firstLine="480"/>
      </w:pPr>
      <w:r>
        <w:rPr>
          <w:rFonts w:hint="eastAsia"/>
        </w:rPr>
        <w:t>（3）预备费</w:t>
      </w:r>
    </w:p>
    <w:p>
      <w:pPr>
        <w:ind w:firstLine="480"/>
      </w:pPr>
      <w:r>
        <w:rPr>
          <w:rFonts w:hint="eastAsia"/>
        </w:rPr>
        <w:t>本工程不计涨价预备费。</w:t>
      </w:r>
      <w:bookmarkEnd w:id="130"/>
      <w:bookmarkEnd w:id="131"/>
      <w:bookmarkEnd w:id="132"/>
      <w:bookmarkEnd w:id="133"/>
    </w:p>
    <w:p>
      <w:pPr>
        <w:pStyle w:val="7"/>
        <w:rPr>
          <w:rFonts w:cs="仿宋"/>
        </w:rPr>
      </w:pPr>
      <w:bookmarkStart w:id="139" w:name="_Toc8016"/>
      <w:bookmarkStart w:id="140" w:name="_Toc7289"/>
      <w:bookmarkStart w:id="141" w:name="_Toc7311"/>
      <w:bookmarkStart w:id="142" w:name="_Toc16346"/>
      <w:bookmarkStart w:id="143" w:name="_Toc29865"/>
      <w:r>
        <w:rPr>
          <w:rFonts w:hint="eastAsia" w:cs="仿宋"/>
        </w:rPr>
        <w:t>3.投资估算范围内容</w:t>
      </w:r>
      <w:bookmarkEnd w:id="139"/>
      <w:bookmarkEnd w:id="140"/>
      <w:bookmarkEnd w:id="141"/>
      <w:bookmarkEnd w:id="142"/>
      <w:bookmarkEnd w:id="143"/>
    </w:p>
    <w:p>
      <w:pPr>
        <w:ind w:firstLine="480"/>
      </w:pPr>
      <w:r>
        <w:rPr>
          <w:rFonts w:hint="eastAsia"/>
        </w:rPr>
        <w:t>本项目总投资101701.06万元，其中包括：</w:t>
      </w:r>
    </w:p>
    <w:p>
      <w:pPr>
        <w:ind w:firstLine="480"/>
      </w:pPr>
      <w:r>
        <w:rPr>
          <w:rFonts w:hint="eastAsia"/>
        </w:rPr>
        <w:t>（1）工程费用78228.02万元；</w:t>
      </w:r>
    </w:p>
    <w:p>
      <w:pPr>
        <w:ind w:firstLine="480"/>
      </w:pPr>
      <w:r>
        <w:rPr>
          <w:rFonts w:hint="eastAsia"/>
        </w:rPr>
        <w:t>其中主要包含：建筑工程、室外总平工程、电力电缆工程等工程费用、设备购置费用。</w:t>
      </w:r>
    </w:p>
    <w:p>
      <w:pPr>
        <w:ind w:firstLine="480"/>
      </w:pPr>
      <w:r>
        <w:rPr>
          <w:rFonts w:hint="eastAsia"/>
        </w:rPr>
        <w:t>（2）工程建设其他费14383.28万元；</w:t>
      </w:r>
    </w:p>
    <w:p>
      <w:pPr>
        <w:ind w:firstLine="480"/>
      </w:pPr>
      <w:r>
        <w:rPr>
          <w:rFonts w:hint="eastAsia"/>
        </w:rPr>
        <w:t>其中主要包含：土地费用、建设单位管理费、场地准备及临时设施费、监理、勘察、设计等费用。</w:t>
      </w:r>
    </w:p>
    <w:p>
      <w:pPr>
        <w:ind w:firstLine="480"/>
      </w:pPr>
      <w:r>
        <w:rPr>
          <w:rFonts w:hint="eastAsia"/>
        </w:rPr>
        <w:t>（3）基本预备费4449.76万元；</w:t>
      </w:r>
    </w:p>
    <w:p>
      <w:pPr>
        <w:ind w:firstLine="480"/>
      </w:pPr>
      <w:r>
        <w:rPr>
          <w:rFonts w:hint="eastAsia"/>
        </w:rPr>
        <w:t>（4）建设期发债利息4560.00万元；</w:t>
      </w:r>
    </w:p>
    <w:p>
      <w:pPr>
        <w:ind w:firstLine="480"/>
      </w:pPr>
      <w:r>
        <w:rPr>
          <w:rFonts w:hint="eastAsia"/>
        </w:rPr>
        <w:t>债券利率按照3.80%计算，发行额度为80000.00万元。建设期债券利息4560.00万元，运营期债券利息56240.00万元，债券利息共计60800.00万元。</w:t>
      </w:r>
    </w:p>
    <w:p>
      <w:pPr>
        <w:ind w:firstLine="480"/>
      </w:pPr>
      <w:r>
        <w:rPr>
          <w:rFonts w:hint="eastAsia"/>
        </w:rPr>
        <w:t>（5）债券发行费用80.00万元。</w:t>
      </w:r>
    </w:p>
    <w:p>
      <w:pPr>
        <w:ind w:firstLine="480"/>
      </w:pPr>
      <w:r>
        <w:rPr>
          <w:rFonts w:hint="eastAsia"/>
        </w:rPr>
        <w:t>债券发行费为债券发行金额的0.10%预估，金额为80.00万元。以实际发行的承销协议为准。</w:t>
      </w:r>
    </w:p>
    <w:p>
      <w:pPr>
        <w:ind w:firstLine="480"/>
      </w:pPr>
      <w:r>
        <w:rPr>
          <w:rFonts w:hint="eastAsia"/>
        </w:rPr>
        <w:t>项目投资估算汇总表如下：</w:t>
      </w:r>
    </w:p>
    <w:p>
      <w:pPr>
        <w:ind w:firstLine="480"/>
        <w:rPr>
          <w:rFonts w:cs="仿宋"/>
        </w:rPr>
        <w:sectPr>
          <w:pgSz w:w="11906" w:h="16838"/>
          <w:pgMar w:top="1440" w:right="1800" w:bottom="1440" w:left="1800" w:header="992" w:footer="992" w:gutter="0"/>
          <w:pgNumType w:start="1"/>
          <w:cols w:space="425" w:num="1"/>
          <w:docGrid w:type="lines" w:linePitch="326" w:charSpace="0"/>
        </w:sectPr>
      </w:pPr>
    </w:p>
    <w:p>
      <w:pPr>
        <w:pStyle w:val="140"/>
        <w:rPr>
          <w:rFonts w:hint="default"/>
        </w:rPr>
      </w:pPr>
      <w:r>
        <w:t>项目投资估算汇总表</w:t>
      </w:r>
    </w:p>
    <w:tbl>
      <w:tblPr>
        <w:tblStyle w:val="32"/>
        <w:tblW w:w="15256" w:type="dxa"/>
        <w:jc w:val="center"/>
        <w:tblLayout w:type="fixed"/>
        <w:tblCellMar>
          <w:top w:w="0" w:type="dxa"/>
          <w:left w:w="108" w:type="dxa"/>
          <w:bottom w:w="0" w:type="dxa"/>
          <w:right w:w="108" w:type="dxa"/>
        </w:tblCellMar>
      </w:tblPr>
      <w:tblGrid>
        <w:gridCol w:w="1180"/>
        <w:gridCol w:w="2264"/>
        <w:gridCol w:w="1425"/>
        <w:gridCol w:w="1200"/>
        <w:gridCol w:w="1387"/>
        <w:gridCol w:w="1350"/>
        <w:gridCol w:w="975"/>
        <w:gridCol w:w="1388"/>
        <w:gridCol w:w="1800"/>
        <w:gridCol w:w="2287"/>
      </w:tblGrid>
      <w:tr>
        <w:tblPrEx>
          <w:tblCellMar>
            <w:top w:w="0" w:type="dxa"/>
            <w:left w:w="108" w:type="dxa"/>
            <w:bottom w:w="0" w:type="dxa"/>
            <w:right w:w="108" w:type="dxa"/>
          </w:tblCellMar>
        </w:tblPrEx>
        <w:trPr>
          <w:trHeight w:val="280" w:hRule="atLeast"/>
          <w:jc w:val="center"/>
        </w:trPr>
        <w:tc>
          <w:tcPr>
            <w:tcW w:w="1180"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序号</w:t>
            </w:r>
          </w:p>
        </w:tc>
        <w:tc>
          <w:tcPr>
            <w:tcW w:w="2264"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工程或费用名称</w:t>
            </w:r>
          </w:p>
        </w:tc>
        <w:tc>
          <w:tcPr>
            <w:tcW w:w="5362" w:type="dxa"/>
            <w:gridSpan w:val="4"/>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估算价值</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技术经济指标</w:t>
            </w:r>
          </w:p>
        </w:tc>
        <w:tc>
          <w:tcPr>
            <w:tcW w:w="2287"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备注</w:t>
            </w:r>
          </w:p>
        </w:tc>
      </w:tr>
      <w:tr>
        <w:tblPrEx>
          <w:tblCellMar>
            <w:top w:w="0" w:type="dxa"/>
            <w:left w:w="108" w:type="dxa"/>
            <w:bottom w:w="0" w:type="dxa"/>
            <w:right w:w="108" w:type="dxa"/>
          </w:tblCellMar>
        </w:tblPrEx>
        <w:trPr>
          <w:trHeight w:val="480" w:hRule="atLeast"/>
          <w:jc w:val="center"/>
        </w:trPr>
        <w:tc>
          <w:tcPr>
            <w:tcW w:w="118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64"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建筑工程</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设备</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工程建设其他费用</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合计</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单位</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数量</w:t>
            </w:r>
          </w:p>
        </w:tc>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单位造价（元）</w:t>
            </w:r>
          </w:p>
        </w:tc>
        <w:tc>
          <w:tcPr>
            <w:tcW w:w="2287"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I</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工程建设费用</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76645.02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78228.02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197143.39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3968.08</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9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一</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建筑工程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62497.62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62497.62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197143.39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3170.16</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装配式 40% ，厂房三星级，公 建部分一星级</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 </w:t>
            </w:r>
            <w:r>
              <w:rPr>
                <w:rStyle w:val="144"/>
                <w:rFonts w:hint="default" w:ascii="仿宋" w:hAnsi="仿宋" w:eastAsia="仿宋" w:cs="仿宋"/>
                <w:color w:val="auto"/>
                <w:lang w:bidi="ar"/>
              </w:rPr>
              <w:t>一</w:t>
            </w:r>
            <w:r>
              <w:rPr>
                <w:rFonts w:hint="eastAsia" w:cs="仿宋"/>
                <w:kern w:val="0"/>
                <w:sz w:val="18"/>
                <w:szCs w:val="18"/>
                <w:lang w:bidi="ar"/>
              </w:rPr>
              <w:t xml:space="preserve"> )</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地上建筑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55350.67</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55350.67</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183589.33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3014.92</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微网大楼</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10315.69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10315.69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2800.00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土建工程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6394.72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6394.72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一栋，7F ，框架剪力墙结构</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装修工程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2170.84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2170.84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645.00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9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室内装修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504.85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504.85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室内清水交付，主要装修为卫</w:t>
            </w:r>
            <w:r>
              <w:rPr>
                <w:rFonts w:hint="eastAsia" w:cs="仿宋"/>
                <w:kern w:val="0"/>
                <w:sz w:val="18"/>
                <w:szCs w:val="18"/>
                <w:lang w:bidi="ar"/>
              </w:rPr>
              <w:br w:type="textWrapping"/>
            </w:r>
            <w:r>
              <w:rPr>
                <w:rFonts w:hint="eastAsia" w:cs="仿宋"/>
                <w:kern w:val="0"/>
                <w:sz w:val="18"/>
                <w:szCs w:val="18"/>
                <w:lang w:bidi="ar"/>
              </w:rPr>
              <w:t>生间：地面防滑地砖、墙面为</w:t>
            </w:r>
            <w:r>
              <w:rPr>
                <w:rFonts w:hint="eastAsia" w:cs="仿宋"/>
                <w:kern w:val="0"/>
                <w:sz w:val="18"/>
                <w:szCs w:val="18"/>
                <w:lang w:bidi="ar"/>
              </w:rPr>
              <w:br w:type="textWrapping"/>
            </w:r>
            <w:r>
              <w:rPr>
                <w:rFonts w:hint="eastAsia" w:cs="仿宋"/>
                <w:kern w:val="0"/>
                <w:sz w:val="18"/>
                <w:szCs w:val="18"/>
                <w:lang w:bidi="ar"/>
              </w:rPr>
              <w:t>内墙瓷砖</w:t>
            </w:r>
          </w:p>
        </w:tc>
      </w:tr>
      <w:tr>
        <w:tblPrEx>
          <w:tblCellMar>
            <w:top w:w="0" w:type="dxa"/>
            <w:left w:w="108" w:type="dxa"/>
            <w:bottom w:w="0" w:type="dxa"/>
            <w:right w:w="108" w:type="dxa"/>
          </w:tblCellMar>
        </w:tblPrEx>
        <w:trPr>
          <w:trHeight w:val="21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室外装修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1665.99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1665.99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37022.06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外墙主要采用玻璃幕墙、清水</w:t>
            </w:r>
            <w:r>
              <w:rPr>
                <w:rFonts w:hint="eastAsia" w:cs="仿宋"/>
                <w:kern w:val="0"/>
                <w:sz w:val="18"/>
                <w:szCs w:val="18"/>
                <w:lang w:bidi="ar"/>
              </w:rPr>
              <w:br w:type="textWrapping"/>
            </w:r>
            <w:r>
              <w:rPr>
                <w:rFonts w:hint="eastAsia" w:cs="仿宋"/>
                <w:kern w:val="0"/>
                <w:sz w:val="18"/>
                <w:szCs w:val="18"/>
                <w:lang w:bidi="ar"/>
              </w:rPr>
              <w:t>混凝土及外墙涂料装饰，局部</w:t>
            </w:r>
            <w:r>
              <w:rPr>
                <w:rFonts w:hint="eastAsia" w:cs="仿宋"/>
                <w:kern w:val="0"/>
                <w:sz w:val="18"/>
                <w:szCs w:val="18"/>
                <w:lang w:bidi="ar"/>
              </w:rPr>
              <w:br w:type="textWrapping"/>
            </w:r>
            <w:r>
              <w:rPr>
                <w:rFonts w:hint="eastAsia" w:cs="仿宋"/>
                <w:kern w:val="0"/>
                <w:sz w:val="18"/>
                <w:szCs w:val="18"/>
                <w:lang w:bidi="ar"/>
              </w:rPr>
              <w:t>采用金属板装饰</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安装工程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1750.13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1750.13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给排水工程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134.63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134.63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含给水、排水等</w:t>
            </w: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消防工程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370.22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370.22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含消防喷淋系统、报警系统等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强电工程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605.82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605.82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含管线、防雷及接 地</w:t>
            </w:r>
          </w:p>
        </w:tc>
      </w:tr>
      <w:tr>
        <w:tblPrEx>
          <w:tblCellMar>
            <w:top w:w="0" w:type="dxa"/>
            <w:left w:w="108" w:type="dxa"/>
            <w:bottom w:w="0" w:type="dxa"/>
            <w:right w:w="108" w:type="dxa"/>
          </w:tblCellMar>
        </w:tblPrEx>
        <w:trPr>
          <w:trHeight w:val="40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弱电工程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302.91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302.91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HTTP 综合布线及计算机网络 系统、数字电视系统、 电话系 统、无线网络信号覆盖系统、 三表远传系统、广播兼背景音 乐系统、安全技术防范系统、</w:t>
            </w:r>
            <w:r>
              <w:rPr>
                <w:rFonts w:hint="eastAsia" w:cs="仿宋"/>
                <w:kern w:val="0"/>
                <w:sz w:val="18"/>
                <w:szCs w:val="18"/>
                <w:lang w:bidi="ar"/>
              </w:rPr>
              <w:br w:type="textWrapping"/>
            </w:r>
            <w:r>
              <w:rPr>
                <w:rFonts w:hint="eastAsia" w:cs="仿宋"/>
                <w:kern w:val="0"/>
                <w:sz w:val="18"/>
                <w:szCs w:val="18"/>
                <w:lang w:bidi="ar"/>
              </w:rPr>
              <w:t>火灾自动报警及联动控制系 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通风工程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33656.42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含空调机位预留</w:t>
            </w: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核心厂房</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22710.79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22710.79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2965.00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1 </w:t>
            </w:r>
            <w:r>
              <w:rPr>
                <w:rStyle w:val="145"/>
                <w:rFonts w:hint="default" w:ascii="仿宋" w:hAnsi="仿宋" w:eastAsia="仿宋" w:cs="仿宋"/>
                <w:color w:val="auto"/>
                <w:lang w:bidi="ar"/>
              </w:rPr>
              <w:t>栋，4F，高 24m ，框架混凝 土结构</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土建工程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13787.33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13787.33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装修工程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4940.46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4940.46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645.00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含室内外装修</w:t>
            </w:r>
          </w:p>
        </w:tc>
      </w:tr>
      <w:tr>
        <w:tblPrEx>
          <w:tblCellMar>
            <w:top w:w="0" w:type="dxa"/>
            <w:left w:w="108" w:type="dxa"/>
            <w:bottom w:w="0" w:type="dxa"/>
            <w:right w:w="108" w:type="dxa"/>
          </w:tblCellMar>
        </w:tblPrEx>
        <w:trPr>
          <w:trHeight w:val="19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室内装修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1148.94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1148.94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室内清水交付，主要装修为卫</w:t>
            </w:r>
            <w:r>
              <w:rPr>
                <w:rFonts w:hint="eastAsia" w:cs="仿宋"/>
                <w:kern w:val="0"/>
                <w:sz w:val="18"/>
                <w:szCs w:val="18"/>
                <w:lang w:bidi="ar"/>
              </w:rPr>
              <w:br w:type="textWrapping"/>
            </w:r>
            <w:r>
              <w:rPr>
                <w:rFonts w:hint="eastAsia" w:cs="仿宋"/>
                <w:kern w:val="0"/>
                <w:sz w:val="18"/>
                <w:szCs w:val="18"/>
                <w:lang w:bidi="ar"/>
              </w:rPr>
              <w:t>生间：地面防滑地砖、墙面为</w:t>
            </w:r>
            <w:r>
              <w:rPr>
                <w:rFonts w:hint="eastAsia" w:cs="仿宋"/>
                <w:kern w:val="0"/>
                <w:sz w:val="18"/>
                <w:szCs w:val="18"/>
                <w:lang w:bidi="ar"/>
              </w:rPr>
              <w:br w:type="textWrapping"/>
            </w:r>
            <w:r>
              <w:rPr>
                <w:rFonts w:hint="eastAsia" w:cs="仿宋"/>
                <w:kern w:val="0"/>
                <w:sz w:val="18"/>
                <w:szCs w:val="18"/>
                <w:lang w:bidi="ar"/>
              </w:rPr>
              <w:t>内墙瓷砖</w:t>
            </w:r>
          </w:p>
        </w:tc>
      </w:tr>
      <w:tr>
        <w:tblPrEx>
          <w:tblCellMar>
            <w:top w:w="0" w:type="dxa"/>
            <w:left w:w="108" w:type="dxa"/>
            <w:bottom w:w="0" w:type="dxa"/>
            <w:right w:w="108" w:type="dxa"/>
          </w:tblCellMar>
        </w:tblPrEx>
        <w:trPr>
          <w:trHeight w:val="21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室外装修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3791.52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3791.52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84255.9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外墙主要采用玻璃幕墙、清水</w:t>
            </w:r>
            <w:r>
              <w:rPr>
                <w:rFonts w:hint="eastAsia" w:cs="仿宋"/>
                <w:kern w:val="0"/>
                <w:sz w:val="18"/>
                <w:szCs w:val="18"/>
                <w:lang w:bidi="ar"/>
              </w:rPr>
              <w:br w:type="textWrapping"/>
            </w:r>
            <w:r>
              <w:rPr>
                <w:rFonts w:hint="eastAsia" w:cs="仿宋"/>
                <w:kern w:val="0"/>
                <w:sz w:val="18"/>
                <w:szCs w:val="18"/>
                <w:lang w:bidi="ar"/>
              </w:rPr>
              <w:t>混凝土及外墙涂料装饰，局部</w:t>
            </w:r>
            <w:r>
              <w:rPr>
                <w:rFonts w:hint="eastAsia" w:cs="仿宋"/>
                <w:kern w:val="0"/>
                <w:sz w:val="18"/>
                <w:szCs w:val="18"/>
                <w:lang w:bidi="ar"/>
              </w:rPr>
              <w:br w:type="textWrapping"/>
            </w:r>
            <w:r>
              <w:rPr>
                <w:rFonts w:hint="eastAsia" w:cs="仿宋"/>
                <w:kern w:val="0"/>
                <w:sz w:val="18"/>
                <w:szCs w:val="18"/>
                <w:lang w:bidi="ar"/>
              </w:rPr>
              <w:t>采用金属板装饰</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安装工程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3983.01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3983.01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给排水工程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306.39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306.39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含给水、排水等</w:t>
            </w: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消防工程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842.56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842.56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含消防喷淋系统、报警系统等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强电工程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1378.73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1378.73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含管线、防雷及接 地</w:t>
            </w:r>
          </w:p>
        </w:tc>
      </w:tr>
      <w:tr>
        <w:tblPrEx>
          <w:tblCellMar>
            <w:top w:w="0" w:type="dxa"/>
            <w:left w:w="108" w:type="dxa"/>
            <w:bottom w:w="0" w:type="dxa"/>
            <w:right w:w="108" w:type="dxa"/>
          </w:tblCellMar>
        </w:tblPrEx>
        <w:trPr>
          <w:trHeight w:val="40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弱电工程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689.37</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689.37</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HTTP 综合布线及计算机网络 系统、数字电视系统、 电话系 统、无线网络信号覆盖系统、三表远传系统、广播兼背景音 乐系统、安全技术防范系统、</w:t>
            </w:r>
            <w:r>
              <w:rPr>
                <w:rFonts w:hint="eastAsia" w:cs="仿宋"/>
                <w:kern w:val="0"/>
                <w:sz w:val="18"/>
                <w:szCs w:val="18"/>
                <w:lang w:bidi="ar"/>
              </w:rPr>
              <w:br w:type="textWrapping"/>
            </w:r>
            <w:r>
              <w:rPr>
                <w:rFonts w:hint="eastAsia" w:cs="仿宋"/>
                <w:kern w:val="0"/>
                <w:sz w:val="18"/>
                <w:szCs w:val="18"/>
                <w:lang w:bidi="ar"/>
              </w:rPr>
              <w:t>火灾自动报警及联动控制系 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通风工程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76596.27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含空调机位预留</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多功能厂房</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14392.58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14392.58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2965.00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土建工程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8737.48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8737.48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3 </w:t>
            </w:r>
            <w:r>
              <w:rPr>
                <w:rStyle w:val="146"/>
                <w:rFonts w:hint="eastAsia"/>
                <w:color w:val="auto"/>
                <w:lang w:bidi="ar"/>
              </w:rPr>
              <w:t>栋，</w:t>
            </w:r>
            <w:r>
              <w:rPr>
                <w:rStyle w:val="147"/>
                <w:rFonts w:hint="eastAsia" w:ascii="仿宋" w:hAnsi="仿宋" w:cs="仿宋"/>
                <w:color w:val="auto"/>
                <w:lang w:bidi="ar"/>
              </w:rPr>
              <w:t>5F</w:t>
            </w:r>
            <w:r>
              <w:rPr>
                <w:rStyle w:val="146"/>
                <w:rFonts w:hint="eastAsia"/>
                <w:color w:val="auto"/>
                <w:lang w:bidi="ar"/>
              </w:rPr>
              <w:t xml:space="preserve">，高 </w:t>
            </w:r>
            <w:r>
              <w:rPr>
                <w:rStyle w:val="147"/>
                <w:rFonts w:hint="eastAsia" w:ascii="仿宋" w:hAnsi="仿宋" w:cs="仿宋"/>
                <w:color w:val="auto"/>
                <w:lang w:bidi="ar"/>
              </w:rPr>
              <w:t xml:space="preserve">24m </w:t>
            </w:r>
            <w:r>
              <w:rPr>
                <w:rStyle w:val="146"/>
                <w:rFonts w:hint="eastAsia"/>
                <w:color w:val="auto"/>
                <w:lang w:bidi="ar"/>
              </w:rPr>
              <w:t>，框架混凝 土结构</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装修工程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3130.93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3130.93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645.00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含室内外装修</w:t>
            </w:r>
          </w:p>
        </w:tc>
      </w:tr>
      <w:tr>
        <w:tblPrEx>
          <w:tblCellMar>
            <w:top w:w="0" w:type="dxa"/>
            <w:left w:w="108" w:type="dxa"/>
            <w:bottom w:w="0" w:type="dxa"/>
            <w:right w:w="108" w:type="dxa"/>
          </w:tblCellMar>
        </w:tblPrEx>
        <w:trPr>
          <w:trHeight w:val="19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室内装修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728.12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728.12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室内清水交付，主要装修为卫</w:t>
            </w:r>
            <w:r>
              <w:rPr>
                <w:rFonts w:hint="eastAsia" w:cs="仿宋"/>
                <w:kern w:val="0"/>
                <w:sz w:val="18"/>
                <w:szCs w:val="18"/>
                <w:lang w:bidi="ar"/>
              </w:rPr>
              <w:br w:type="textWrapping"/>
            </w:r>
            <w:r>
              <w:rPr>
                <w:rFonts w:hint="eastAsia" w:cs="仿宋"/>
                <w:kern w:val="0"/>
                <w:sz w:val="18"/>
                <w:szCs w:val="18"/>
                <w:lang w:bidi="ar"/>
              </w:rPr>
              <w:t>生间：地面防滑地砖、墙面为</w:t>
            </w:r>
            <w:r>
              <w:rPr>
                <w:rFonts w:hint="eastAsia" w:cs="仿宋"/>
                <w:kern w:val="0"/>
                <w:sz w:val="18"/>
                <w:szCs w:val="18"/>
                <w:lang w:bidi="ar"/>
              </w:rPr>
              <w:br w:type="textWrapping"/>
            </w:r>
            <w:r>
              <w:rPr>
                <w:rFonts w:hint="eastAsia" w:cs="仿宋"/>
                <w:kern w:val="0"/>
                <w:sz w:val="18"/>
                <w:szCs w:val="18"/>
                <w:lang w:bidi="ar"/>
              </w:rPr>
              <w:t>内墙瓷砖</w:t>
            </w:r>
          </w:p>
        </w:tc>
      </w:tr>
      <w:tr>
        <w:tblPrEx>
          <w:tblCellMar>
            <w:top w:w="0" w:type="dxa"/>
            <w:left w:w="108" w:type="dxa"/>
            <w:bottom w:w="0" w:type="dxa"/>
            <w:right w:w="108" w:type="dxa"/>
          </w:tblCellMar>
        </w:tblPrEx>
        <w:trPr>
          <w:trHeight w:val="21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室外装修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2402.81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2402.81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53395.74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外墙主要采用玻璃幕墙、清水</w:t>
            </w:r>
            <w:r>
              <w:rPr>
                <w:rFonts w:hint="eastAsia" w:cs="仿宋"/>
                <w:kern w:val="0"/>
                <w:sz w:val="18"/>
                <w:szCs w:val="18"/>
                <w:lang w:bidi="ar"/>
              </w:rPr>
              <w:br w:type="textWrapping"/>
            </w:r>
            <w:r>
              <w:rPr>
                <w:rFonts w:hint="eastAsia" w:cs="仿宋"/>
                <w:kern w:val="0"/>
                <w:sz w:val="18"/>
                <w:szCs w:val="18"/>
                <w:lang w:bidi="ar"/>
              </w:rPr>
              <w:t>混凝土及外墙涂料装饰，局部</w:t>
            </w:r>
            <w:r>
              <w:rPr>
                <w:rFonts w:hint="eastAsia" w:cs="仿宋"/>
                <w:kern w:val="0"/>
                <w:sz w:val="18"/>
                <w:szCs w:val="18"/>
                <w:lang w:bidi="ar"/>
              </w:rPr>
              <w:br w:type="textWrapping"/>
            </w:r>
            <w:r>
              <w:rPr>
                <w:rFonts w:hint="eastAsia" w:cs="仿宋"/>
                <w:kern w:val="0"/>
                <w:sz w:val="18"/>
                <w:szCs w:val="18"/>
                <w:lang w:bidi="ar"/>
              </w:rPr>
              <w:t>采用金属板装饰</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安装工程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2524.16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2524.16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给排水工程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194.17</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194.17</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含给水、排水等</w:t>
            </w: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消防工程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533.96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533.96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含消防喷淋系统、报警系统等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强电工程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873.75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873.75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含管线、防雷及接 地</w:t>
            </w:r>
          </w:p>
        </w:tc>
      </w:tr>
      <w:tr>
        <w:tblPrEx>
          <w:tblCellMar>
            <w:top w:w="0" w:type="dxa"/>
            <w:left w:w="108" w:type="dxa"/>
            <w:bottom w:w="0" w:type="dxa"/>
            <w:right w:w="108" w:type="dxa"/>
          </w:tblCellMar>
        </w:tblPrEx>
        <w:trPr>
          <w:trHeight w:val="40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弱电工程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436.87</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436.87</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HTTP 综合布线及计算机网络 系统、数字电视系统、 电话系 统、无线网络信号覆盖系统、 三表远传系统、广播兼背景音 乐系统、安全技术防范系统等</w:t>
            </w:r>
            <w:r>
              <w:rPr>
                <w:rFonts w:hint="eastAsia" w:cs="仿宋"/>
                <w:kern w:val="0"/>
                <w:sz w:val="18"/>
                <w:szCs w:val="18"/>
                <w:lang w:bidi="ar"/>
              </w:rPr>
              <w:br w:type="textWrapping"/>
            </w:r>
            <w:r>
              <w:rPr>
                <w:rFonts w:hint="eastAsia" w:cs="仿宋"/>
                <w:kern w:val="0"/>
                <w:sz w:val="18"/>
                <w:szCs w:val="18"/>
                <w:lang w:bidi="ar"/>
              </w:rPr>
              <w:t>火灾自动报警及联动控制系</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通风工程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48541.58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含空调机位预留</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生活配套用房</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5881.53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5881.53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2965.00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土建工程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3570.58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3570.58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1 </w:t>
            </w:r>
            <w:r>
              <w:rPr>
                <w:rStyle w:val="146"/>
                <w:rFonts w:hint="eastAsia"/>
                <w:color w:val="auto"/>
                <w:lang w:bidi="ar"/>
              </w:rPr>
              <w:t>栋，</w:t>
            </w:r>
            <w:r>
              <w:rPr>
                <w:rStyle w:val="147"/>
                <w:rFonts w:hint="eastAsia" w:ascii="仿宋" w:hAnsi="仿宋" w:cs="仿宋"/>
                <w:color w:val="auto"/>
                <w:lang w:bidi="ar"/>
              </w:rPr>
              <w:t>7F</w:t>
            </w:r>
            <w:r>
              <w:rPr>
                <w:rStyle w:val="146"/>
                <w:rFonts w:hint="eastAsia"/>
                <w:color w:val="auto"/>
                <w:lang w:bidi="ar"/>
              </w:rPr>
              <w:t xml:space="preserve">，高 </w:t>
            </w:r>
            <w:r>
              <w:rPr>
                <w:rStyle w:val="147"/>
                <w:rFonts w:hint="eastAsia" w:ascii="仿宋" w:hAnsi="仿宋" w:cs="仿宋"/>
                <w:color w:val="auto"/>
                <w:lang w:bidi="ar"/>
              </w:rPr>
              <w:t xml:space="preserve">24m </w:t>
            </w:r>
            <w:r>
              <w:rPr>
                <w:rStyle w:val="146"/>
                <w:rFonts w:hint="eastAsia"/>
                <w:color w:val="auto"/>
                <w:lang w:bidi="ar"/>
              </w:rPr>
              <w:t>，框架混凝 土结构</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装修工程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1279.46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1279.46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645.00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含室内外装修</w:t>
            </w:r>
          </w:p>
        </w:tc>
      </w:tr>
      <w:tr>
        <w:tblPrEx>
          <w:tblCellMar>
            <w:top w:w="0" w:type="dxa"/>
            <w:left w:w="108" w:type="dxa"/>
            <w:bottom w:w="0" w:type="dxa"/>
            <w:right w:w="108" w:type="dxa"/>
          </w:tblCellMar>
        </w:tblPrEx>
        <w:trPr>
          <w:trHeight w:val="19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室内装修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297.55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297.55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室内清水交付，主要装修为卫</w:t>
            </w:r>
            <w:r>
              <w:rPr>
                <w:rFonts w:hint="eastAsia" w:cs="仿宋"/>
                <w:kern w:val="0"/>
                <w:sz w:val="18"/>
                <w:szCs w:val="18"/>
                <w:lang w:bidi="ar"/>
              </w:rPr>
              <w:br w:type="textWrapping"/>
            </w:r>
            <w:r>
              <w:rPr>
                <w:rFonts w:hint="eastAsia" w:cs="仿宋"/>
                <w:kern w:val="0"/>
                <w:sz w:val="18"/>
                <w:szCs w:val="18"/>
                <w:lang w:bidi="ar"/>
              </w:rPr>
              <w:t>生间：地面防滑地砖、墙面为</w:t>
            </w:r>
            <w:r>
              <w:rPr>
                <w:rFonts w:hint="eastAsia" w:cs="仿宋"/>
                <w:kern w:val="0"/>
                <w:sz w:val="18"/>
                <w:szCs w:val="18"/>
                <w:lang w:bidi="ar"/>
              </w:rPr>
              <w:br w:type="textWrapping"/>
            </w:r>
            <w:r>
              <w:rPr>
                <w:rFonts w:hint="eastAsia" w:cs="仿宋"/>
                <w:kern w:val="0"/>
                <w:sz w:val="18"/>
                <w:szCs w:val="18"/>
                <w:lang w:bidi="ar"/>
              </w:rPr>
              <w:t>内墙瓷砖</w:t>
            </w:r>
          </w:p>
        </w:tc>
      </w:tr>
      <w:tr>
        <w:tblPrEx>
          <w:tblCellMar>
            <w:top w:w="0" w:type="dxa"/>
            <w:left w:w="108" w:type="dxa"/>
            <w:bottom w:w="0" w:type="dxa"/>
            <w:right w:w="108" w:type="dxa"/>
          </w:tblCellMar>
        </w:tblPrEx>
        <w:trPr>
          <w:trHeight w:val="21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室外装修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981.91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981.91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21820.18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外墙主要采用玻璃幕墙、清水</w:t>
            </w:r>
            <w:r>
              <w:rPr>
                <w:rFonts w:hint="eastAsia" w:cs="仿宋"/>
                <w:kern w:val="0"/>
                <w:sz w:val="18"/>
                <w:szCs w:val="18"/>
                <w:lang w:bidi="ar"/>
              </w:rPr>
              <w:br w:type="textWrapping"/>
            </w:r>
            <w:r>
              <w:rPr>
                <w:rFonts w:hint="eastAsia" w:cs="仿宋"/>
                <w:kern w:val="0"/>
                <w:sz w:val="18"/>
                <w:szCs w:val="18"/>
                <w:lang w:bidi="ar"/>
              </w:rPr>
              <w:t>混凝土及外墙涂料装饰，局部</w:t>
            </w:r>
            <w:r>
              <w:rPr>
                <w:rFonts w:hint="eastAsia" w:cs="仿宋"/>
                <w:kern w:val="0"/>
                <w:sz w:val="18"/>
                <w:szCs w:val="18"/>
                <w:lang w:bidi="ar"/>
              </w:rPr>
              <w:br w:type="textWrapping"/>
            </w:r>
            <w:r>
              <w:rPr>
                <w:rFonts w:hint="eastAsia" w:cs="仿宋"/>
                <w:kern w:val="0"/>
                <w:sz w:val="18"/>
                <w:szCs w:val="18"/>
                <w:lang w:bidi="ar"/>
              </w:rPr>
              <w:t>采用金属板装饰</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安装工程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1031.50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1031.50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给排水工程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79.35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79.35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含给水、排水等</w:t>
            </w: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消防工程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218.20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218.20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含消防喷淋系统、报警系统等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强电工程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357.06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357.06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含照管线、防雷及接 地</w:t>
            </w:r>
          </w:p>
        </w:tc>
      </w:tr>
      <w:tr>
        <w:tblPrEx>
          <w:tblCellMar>
            <w:top w:w="0" w:type="dxa"/>
            <w:left w:w="108" w:type="dxa"/>
            <w:bottom w:w="0" w:type="dxa"/>
            <w:right w:w="108" w:type="dxa"/>
          </w:tblCellMar>
        </w:tblPrEx>
        <w:trPr>
          <w:trHeight w:val="40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弱电工程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178.53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178.53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HTTP 综合布线及计算机网络 系统、数字电视系统、 电话系 统、无线网络信号覆盖系统、 三表远传系统、广播兼背景音 乐系统、安全技术防范系统、</w:t>
            </w:r>
            <w:r>
              <w:rPr>
                <w:rFonts w:hint="eastAsia" w:cs="仿宋"/>
                <w:kern w:val="0"/>
                <w:sz w:val="18"/>
                <w:szCs w:val="18"/>
                <w:lang w:bidi="ar"/>
              </w:rPr>
              <w:br w:type="textWrapping"/>
            </w:r>
            <w:r>
              <w:rPr>
                <w:rFonts w:hint="eastAsia" w:cs="仿宋"/>
                <w:kern w:val="0"/>
                <w:sz w:val="18"/>
                <w:szCs w:val="18"/>
                <w:lang w:bidi="ar"/>
              </w:rPr>
              <w:t>火灾自动报警及联动控制系 统等</w:t>
            </w:r>
          </w:p>
        </w:tc>
      </w:tr>
      <w:tr>
        <w:tblPrEx>
          <w:tblCellMar>
            <w:top w:w="0" w:type="dxa"/>
            <w:left w:w="108" w:type="dxa"/>
            <w:bottom w:w="0" w:type="dxa"/>
            <w:right w:w="108" w:type="dxa"/>
          </w:tblCellMar>
        </w:tblPrEx>
        <w:trPr>
          <w:trHeight w:val="4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通风工程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198.37</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198.37</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19836.53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含空调机位预留</w:t>
            </w: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库房</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46.78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46.78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146.19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1 </w:t>
            </w:r>
            <w:r>
              <w:rPr>
                <w:rStyle w:val="145"/>
                <w:rFonts w:hint="default" w:ascii="仿宋" w:hAnsi="仿宋" w:eastAsia="仿宋" w:cs="仿宋"/>
                <w:color w:val="auto"/>
                <w:lang w:bidi="ar"/>
              </w:rPr>
              <w:t>栋，含土建、安装、装饰装 修等</w:t>
            </w: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门卫</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60.51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60.51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151.28</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3 </w:t>
            </w:r>
            <w:r>
              <w:rPr>
                <w:rStyle w:val="145"/>
                <w:rFonts w:hint="default" w:ascii="仿宋" w:hAnsi="仿宋" w:eastAsia="仿宋" w:cs="仿宋"/>
                <w:color w:val="auto"/>
                <w:lang w:bidi="ar"/>
              </w:rPr>
              <w:t>处，含土建、安装、装饰装 修等</w:t>
            </w: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架空层</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1118.65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1118.65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4661.06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2400.00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含土建、安装、装饰装修等</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屋面工程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166.58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166.58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6663</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屋顶铺装</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445.52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445.52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12729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PC </w:t>
            </w:r>
            <w:r>
              <w:rPr>
                <w:rStyle w:val="146"/>
                <w:rFonts w:hint="eastAsia"/>
                <w:color w:val="auto"/>
                <w:lang w:bidi="ar"/>
              </w:rPr>
              <w:t>砖</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屋顶运动场</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212.04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212.04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5301</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塑胶面层</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 </w:t>
            </w:r>
            <w:r>
              <w:rPr>
                <w:rStyle w:val="144"/>
                <w:rFonts w:hint="default" w:ascii="仿宋" w:hAnsi="仿宋" w:eastAsia="仿宋" w:cs="仿宋"/>
                <w:color w:val="auto"/>
                <w:lang w:bidi="ar"/>
              </w:rPr>
              <w:t>二</w:t>
            </w:r>
            <w:r>
              <w:rPr>
                <w:rFonts w:hint="eastAsia" w:cs="仿宋"/>
                <w:kern w:val="0"/>
                <w:sz w:val="18"/>
                <w:szCs w:val="18"/>
                <w:lang w:bidi="ar"/>
              </w:rPr>
              <w:t xml:space="preserve"> )</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地下建筑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7146.95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7146.95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5272.92</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20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土建工程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5723.43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5723.43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4222.67</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桩基支护，设置抗浮锚杆、地 基加固及基坑监测等</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防空地下室</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460.89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460.89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1024.19</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普通地下室</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5262.55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5262.55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12529.87</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装修工程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406.62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406.62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安装工程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975.89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975.89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720.00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给排水工程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94.88</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94.88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消防工程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216.86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216.86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强电工程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338.85</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338.85</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弱电工程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108.43</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108.43</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通风工程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216.86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216.86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13554.06</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04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充电桩</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41.00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41.00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个</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82.00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 xml:space="preserve">7kw </w:t>
            </w:r>
            <w:r>
              <w:rPr>
                <w:rStyle w:val="146"/>
                <w:rFonts w:hint="eastAsia"/>
                <w:color w:val="auto"/>
                <w:lang w:bidi="ar"/>
              </w:rPr>
              <w:t xml:space="preserve">，按机动车位的 </w:t>
            </w:r>
            <w:r>
              <w:rPr>
                <w:rStyle w:val="147"/>
                <w:rFonts w:hint="eastAsia" w:ascii="仿宋" w:hAnsi="仿宋" w:cs="仿宋"/>
                <w:color w:val="auto"/>
                <w:lang w:bidi="ar"/>
              </w:rPr>
              <w:t>20%</w:t>
            </w:r>
            <w:r>
              <w:rPr>
                <w:rStyle w:val="146"/>
                <w:rFonts w:hint="eastAsia"/>
                <w:color w:val="auto"/>
                <w:lang w:bidi="ar"/>
              </w:rPr>
              <w:t>进行 设置</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二</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室外总平工程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5047.40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5047.40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19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竖向土石方工程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780.29</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780.29</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156057.50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含现状房屋拆除、挖土方和弃</w:t>
            </w:r>
            <w:r>
              <w:rPr>
                <w:rFonts w:hint="eastAsia" w:cs="仿宋"/>
                <w:kern w:val="0"/>
                <w:sz w:val="18"/>
                <w:szCs w:val="18"/>
                <w:lang w:bidi="ar"/>
              </w:rPr>
              <w:br w:type="textWrapping"/>
            </w:r>
            <w:r>
              <w:rPr>
                <w:rFonts w:hint="eastAsia" w:cs="仿宋"/>
                <w:kern w:val="0"/>
                <w:sz w:val="18"/>
                <w:szCs w:val="18"/>
                <w:lang w:bidi="ar"/>
              </w:rPr>
              <w:t>方，弃方运距约 20km，平均</w:t>
            </w:r>
            <w:r>
              <w:rPr>
                <w:rFonts w:hint="eastAsia" w:cs="仿宋"/>
                <w:kern w:val="0"/>
                <w:sz w:val="18"/>
                <w:szCs w:val="18"/>
                <w:lang w:bidi="ar"/>
              </w:rPr>
              <w:br w:type="textWrapping"/>
            </w:r>
            <w:r>
              <w:rPr>
                <w:rFonts w:hint="eastAsia" w:cs="仿宋"/>
                <w:kern w:val="0"/>
                <w:sz w:val="18"/>
                <w:szCs w:val="18"/>
                <w:lang w:bidi="ar"/>
              </w:rPr>
              <w:t>1.6m</w:t>
            </w:r>
          </w:p>
        </w:tc>
      </w:tr>
      <w:tr>
        <w:tblPrEx>
          <w:tblCellMar>
            <w:top w:w="0" w:type="dxa"/>
            <w:left w:w="108" w:type="dxa"/>
            <w:bottom w:w="0" w:type="dxa"/>
            <w:right w:w="108" w:type="dxa"/>
          </w:tblCellMar>
        </w:tblPrEx>
        <w:trPr>
          <w:trHeight w:val="120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道路铺装</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1536.10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1536.10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38402.62</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综合单价包含标识系统等，含沥青路面、花岗石路等</w:t>
            </w:r>
          </w:p>
        </w:tc>
      </w:tr>
      <w:tr>
        <w:tblPrEx>
          <w:tblCellMar>
            <w:top w:w="0" w:type="dxa"/>
            <w:left w:w="108" w:type="dxa"/>
            <w:bottom w:w="0" w:type="dxa"/>
            <w:right w:w="108" w:type="dxa"/>
          </w:tblCellMar>
        </w:tblPrEx>
        <w:trPr>
          <w:trHeight w:val="15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综合管线</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2731.01</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4314.01</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20"/>
                <w:szCs w:val="20"/>
              </w:rPr>
            </w:pPr>
            <w:r>
              <w:rPr>
                <w:rFonts w:hint="eastAsia" w:cs="仿宋"/>
                <w:kern w:val="0"/>
                <w:sz w:val="20"/>
                <w:szCs w:val="20"/>
                <w:lang w:bidi="ar"/>
              </w:rPr>
              <w:t>含给排水工程、强弱电工程、 燃气管网工程、通信工程等</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给水管网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排水管网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585.22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585.22</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电力管网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通信管网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燃气管网</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390.14</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97535.94</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40.00</w:t>
            </w:r>
          </w:p>
        </w:tc>
        <w:tc>
          <w:tcPr>
            <w:tcW w:w="22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1"/>
                <w:szCs w:val="21"/>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三</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设备购置</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电梯</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960.00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960.00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部</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320000.00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72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监控安防设备</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套</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200000.00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具备红外夜视功能、人脸识别 系统</w:t>
            </w:r>
          </w:p>
        </w:tc>
      </w:tr>
      <w:tr>
        <w:tblPrEx>
          <w:tblCellMar>
            <w:top w:w="0" w:type="dxa"/>
            <w:left w:w="108" w:type="dxa"/>
            <w:bottom w:w="0" w:type="dxa"/>
            <w:right w:w="108" w:type="dxa"/>
          </w:tblCellMar>
        </w:tblPrEx>
        <w:trPr>
          <w:trHeight w:val="96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停车系统</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36.00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36.00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套</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每个出入口一套，进出 口 自动 识别</w:t>
            </w: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变压器</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540.00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540.00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630KVA</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800KVA</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108.00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108.00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4.3</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1000KVA</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242.00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242.00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1250KVA</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柴油发电机</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500KW</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600KW</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台</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四</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电力电缆工程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9100.00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9100.00</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0"/>
                <w:szCs w:val="20"/>
              </w:rPr>
            </w:pPr>
          </w:p>
        </w:tc>
        <w:tc>
          <w:tcPr>
            <w:tcW w:w="138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jc w:val="center"/>
              <w:rPr>
                <w:rFonts w:cs="仿宋"/>
                <w:sz w:val="20"/>
                <w:szCs w:val="20"/>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nil"/>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明挖段</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8100.00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8100.00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m</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2700.00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240" w:lineRule="auto"/>
              <w:ind w:firstLine="0" w:firstLineChars="0"/>
              <w:jc w:val="center"/>
              <w:textAlignment w:val="center"/>
              <w:rPr>
                <w:rFonts w:cs="仿宋"/>
                <w:sz w:val="18"/>
                <w:szCs w:val="18"/>
              </w:rPr>
            </w:pPr>
            <w:r>
              <w:rPr>
                <w:rStyle w:val="144"/>
                <w:rFonts w:hint="default" w:ascii="仿宋" w:hAnsi="仿宋" w:eastAsia="仿宋" w:cs="仿宋"/>
                <w:color w:val="auto"/>
                <w:lang w:bidi="ar"/>
              </w:rPr>
              <w:t>暗挖段</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m</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200.00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50000.00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II</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工程建设其他费用</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14383.28</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14383.28</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建设用地费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3616.00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3616.00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亩</w:t>
            </w: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226.00</w:t>
            </w: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城市基础设施配套费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2760.01</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2760.01</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成府发〔2008〕12号,按140元/平方米的标准执行</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3</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建设项目前期工作咨询费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73.17</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73.17</w:t>
            </w:r>
          </w:p>
        </w:tc>
        <w:tc>
          <w:tcPr>
            <w:tcW w:w="4163" w:type="dxa"/>
            <w:gridSpan w:val="3"/>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根据计价格〔1999〕1283号文、发改价格〔2015〕299号文下浮20%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3.1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可行性研究报告编制费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61.95</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61.95</w:t>
            </w:r>
          </w:p>
        </w:tc>
        <w:tc>
          <w:tcPr>
            <w:tcW w:w="4163" w:type="dxa"/>
            <w:gridSpan w:val="3"/>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3.2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可行性研究报告评估费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11.22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11.22</w:t>
            </w:r>
          </w:p>
        </w:tc>
        <w:tc>
          <w:tcPr>
            <w:tcW w:w="4163" w:type="dxa"/>
            <w:gridSpan w:val="3"/>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4</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项目建设管理费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951.15</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951.15</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财建〔2016〕504号文</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5</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场地准备费及临时设施费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389.37</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389.37</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建标〔2007〕164号文，取工程费用的0.5%</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6</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施工图审查费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2662.77</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2662.77</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6.1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工程勘察费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498.39</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498.39</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根据建标〔2007〕164号文，按照工程费用的0.8%估算，根据发改价格〔2015〕299号文下浮20%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6.2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设计费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2164.38</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2164.38</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根据计价格〔2002〕10号文、发改价格〔2015〕299号文下浮20%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7</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工程建设监理费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1373.41</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1373.41</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根据发改价格〔2007〕670号文、发改价格〔2015〕299号文下浮20%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8</w:t>
            </w:r>
          </w:p>
        </w:tc>
        <w:tc>
          <w:tcPr>
            <w:tcW w:w="226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施工图技术审查费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25.34</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25.34</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按川发改价格〔2011〕323号文计，按1.8元/平方米计</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环境影响咨询服务费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29.54</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29.54</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根据计价格〔2002〕125号文、发改价格〔2015〕299号文下浮20%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建设工程造价咨询服务费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1389.47</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1389.47</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根据计价格〔2002〕125号文、发改价格〔2015〕299号文下浮20%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工程量清单及控制价编制</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282.45</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282.45</w:t>
            </w:r>
          </w:p>
        </w:tc>
        <w:tc>
          <w:tcPr>
            <w:tcW w:w="4163" w:type="dxa"/>
            <w:gridSpan w:val="3"/>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川价发〔2008〕141号，发改价格〔2015〕299号文下浮20%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审核工程预算（招标控制或标底）费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216.46</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216.46</w:t>
            </w:r>
          </w:p>
        </w:tc>
        <w:tc>
          <w:tcPr>
            <w:tcW w:w="4163" w:type="dxa"/>
            <w:gridSpan w:val="3"/>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10.3</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审核竣工结算费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293.66</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293.66</w:t>
            </w:r>
          </w:p>
        </w:tc>
        <w:tc>
          <w:tcPr>
            <w:tcW w:w="4163" w:type="dxa"/>
            <w:gridSpan w:val="3"/>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10.4</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施工阶段全过程造价控制</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596.90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596.90</w:t>
            </w:r>
          </w:p>
        </w:tc>
        <w:tc>
          <w:tcPr>
            <w:tcW w:w="4163" w:type="dxa"/>
            <w:gridSpan w:val="3"/>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招标代理服务费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81.42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81.42</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根据计价格〔2002〕1980号文件，发改价格〔2015〕299号文下浮20%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劳动安全卫生评审费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233.62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233.62</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建标〔2007〕164号文,取工程费用的0.30%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水土保持方案编制费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139.92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139.92</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保监〔2005〕22号文，根据市场情况下浮20%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14</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水土保持补偿费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6.75</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6.75</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川发改价格〔2017〕347号</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工程保险费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233.62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233.62</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建标〔2007〕164号文，取工程费用的0.30%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16</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节能评估咨询费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51.22</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51.22</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参照可行性研究报告编制费、评估费的70%考虑</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17</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社会稳定性风险评估报告</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30.00</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暂估</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18</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地质灾害危险性评估费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25.00</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暂估</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19</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检测费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311.50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311.50</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建标〔2007〕164号文，取工程费用的0.40%</w:t>
            </w: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III</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预备费用</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4449.76</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4449.76</w:t>
            </w:r>
          </w:p>
        </w:tc>
        <w:tc>
          <w:tcPr>
            <w:tcW w:w="9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1</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基本预备费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4449.76</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4449.76</w:t>
            </w:r>
          </w:p>
        </w:tc>
        <w:tc>
          <w:tcPr>
            <w:tcW w:w="4163" w:type="dxa"/>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spacing w:line="240" w:lineRule="auto"/>
              <w:ind w:firstLine="0" w:firstLineChars="0"/>
              <w:jc w:val="center"/>
              <w:textAlignment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2</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涨价预备费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IV</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sz w:val="18"/>
                <w:szCs w:val="18"/>
              </w:rPr>
            </w:pPr>
            <w:r>
              <w:rPr>
                <w:rFonts w:hint="eastAsia" w:cs="仿宋"/>
                <w:kern w:val="0"/>
                <w:sz w:val="18"/>
                <w:szCs w:val="18"/>
                <w:lang w:bidi="ar"/>
              </w:rPr>
              <w:t>建设投资合计</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76645.02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18833.04</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97061.06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V</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建设期利息</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4560.00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4560.00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VI</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债券发行费</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80.00</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80.00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VII</w:t>
            </w: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投资合计</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76645.02</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1583.00</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23473.04</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101701.06</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r>
        <w:tblPrEx>
          <w:tblCellMar>
            <w:top w:w="0" w:type="dxa"/>
            <w:left w:w="108" w:type="dxa"/>
            <w:bottom w:w="0" w:type="dxa"/>
            <w:right w:w="108" w:type="dxa"/>
          </w:tblCellMar>
        </w:tblPrEx>
        <w:trPr>
          <w:trHeight w:val="280" w:hRule="atLeast"/>
          <w:jc w:val="center"/>
        </w:trPr>
        <w:tc>
          <w:tcPr>
            <w:tcW w:w="118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6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bottom"/>
              <w:rPr>
                <w:rFonts w:cs="仿宋"/>
                <w:b/>
                <w:bCs/>
                <w:sz w:val="18"/>
                <w:szCs w:val="18"/>
              </w:rPr>
            </w:pPr>
            <w:r>
              <w:rPr>
                <w:rFonts w:hint="eastAsia" w:cs="仿宋"/>
                <w:b/>
                <w:bCs/>
                <w:kern w:val="0"/>
                <w:sz w:val="18"/>
                <w:szCs w:val="18"/>
                <w:lang w:bidi="ar"/>
              </w:rPr>
              <w:t>所占比例</w:t>
            </w:r>
          </w:p>
        </w:tc>
        <w:tc>
          <w:tcPr>
            <w:tcW w:w="142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75.36%</w:t>
            </w:r>
          </w:p>
        </w:tc>
        <w:tc>
          <w:tcPr>
            <w:tcW w:w="12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1.56%</w:t>
            </w:r>
          </w:p>
        </w:tc>
        <w:tc>
          <w:tcPr>
            <w:tcW w:w="138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23.08%</w:t>
            </w:r>
          </w:p>
        </w:tc>
        <w:tc>
          <w:tcPr>
            <w:tcW w:w="135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spacing w:line="240" w:lineRule="auto"/>
              <w:ind w:firstLine="0" w:firstLineChars="0"/>
              <w:jc w:val="center"/>
              <w:textAlignment w:val="center"/>
              <w:rPr>
                <w:rFonts w:cs="仿宋"/>
                <w:sz w:val="18"/>
                <w:szCs w:val="18"/>
              </w:rPr>
            </w:pPr>
            <w:r>
              <w:rPr>
                <w:rFonts w:hint="eastAsia" w:cs="仿宋"/>
                <w:kern w:val="0"/>
                <w:sz w:val="18"/>
                <w:szCs w:val="18"/>
                <w:lang w:bidi="ar"/>
              </w:rPr>
              <w:t>100.00%</w:t>
            </w:r>
          </w:p>
        </w:tc>
        <w:tc>
          <w:tcPr>
            <w:tcW w:w="9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38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180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spacing w:line="240" w:lineRule="auto"/>
              <w:ind w:firstLine="0" w:firstLineChars="0"/>
              <w:jc w:val="center"/>
              <w:rPr>
                <w:rFonts w:cs="仿宋"/>
                <w:sz w:val="18"/>
                <w:szCs w:val="18"/>
              </w:rPr>
            </w:pPr>
          </w:p>
        </w:tc>
        <w:tc>
          <w:tcPr>
            <w:tcW w:w="2287" w:type="dxa"/>
            <w:tcBorders>
              <w:top w:val="single" w:color="000000" w:sz="4" w:space="0"/>
              <w:left w:val="single" w:color="000000" w:sz="4" w:space="0"/>
              <w:bottom w:val="single" w:color="000000" w:sz="4" w:space="0"/>
              <w:right w:val="single" w:color="000000" w:sz="4" w:space="0"/>
            </w:tcBorders>
            <w:shd w:val="clear" w:color="auto" w:fill="FFFFFF"/>
            <w:vAlign w:val="center"/>
          </w:tcPr>
          <w:p>
            <w:pPr>
              <w:spacing w:line="240" w:lineRule="auto"/>
              <w:ind w:firstLine="0" w:firstLineChars="0"/>
              <w:jc w:val="center"/>
              <w:rPr>
                <w:rFonts w:cs="仿宋"/>
                <w:sz w:val="18"/>
                <w:szCs w:val="18"/>
              </w:rPr>
            </w:pPr>
          </w:p>
        </w:tc>
      </w:tr>
    </w:tbl>
    <w:p>
      <w:pPr>
        <w:ind w:firstLine="480"/>
        <w:sectPr>
          <w:pgSz w:w="16838" w:h="11906" w:orient="landscape"/>
          <w:pgMar w:top="850" w:right="850" w:bottom="850" w:left="850" w:header="851" w:footer="992" w:gutter="0"/>
          <w:cols w:space="0" w:num="1"/>
          <w:docGrid w:type="lines" w:linePitch="332" w:charSpace="0"/>
        </w:sectPr>
      </w:pPr>
    </w:p>
    <w:p>
      <w:pPr>
        <w:pStyle w:val="6"/>
        <w:rPr>
          <w:rFonts w:cs="仿宋"/>
        </w:rPr>
      </w:pPr>
      <w:bookmarkStart w:id="144" w:name="_Toc14400"/>
      <w:bookmarkStart w:id="145" w:name="_Toc26002"/>
      <w:bookmarkStart w:id="146" w:name="_Toc17597"/>
      <w:bookmarkStart w:id="147" w:name="_Toc14838"/>
      <w:bookmarkStart w:id="148" w:name="_Toc20337"/>
      <w:bookmarkStart w:id="149" w:name="_Toc55468466"/>
      <w:r>
        <w:rPr>
          <w:rFonts w:hint="eastAsia" w:cs="仿宋"/>
        </w:rPr>
        <w:t>（二）资金筹措方案</w:t>
      </w:r>
      <w:bookmarkEnd w:id="144"/>
      <w:bookmarkEnd w:id="145"/>
      <w:bookmarkEnd w:id="146"/>
      <w:bookmarkEnd w:id="147"/>
      <w:bookmarkEnd w:id="148"/>
      <w:bookmarkEnd w:id="149"/>
    </w:p>
    <w:p>
      <w:pPr>
        <w:pStyle w:val="7"/>
        <w:rPr>
          <w:rFonts w:cs="仿宋"/>
        </w:rPr>
      </w:pPr>
      <w:bookmarkStart w:id="150" w:name="_Toc24072"/>
      <w:bookmarkStart w:id="151" w:name="_Toc16717"/>
      <w:bookmarkStart w:id="152" w:name="_Toc1053"/>
      <w:bookmarkStart w:id="153" w:name="_Toc15664"/>
      <w:bookmarkStart w:id="154" w:name="_Toc27891"/>
      <w:r>
        <w:rPr>
          <w:rFonts w:hint="eastAsia" w:cs="仿宋"/>
        </w:rPr>
        <w:t>1.资金来源</w:t>
      </w:r>
      <w:bookmarkEnd w:id="150"/>
      <w:bookmarkEnd w:id="151"/>
      <w:bookmarkEnd w:id="152"/>
      <w:bookmarkEnd w:id="153"/>
      <w:bookmarkEnd w:id="154"/>
    </w:p>
    <w:p>
      <w:pPr>
        <w:ind w:firstLine="480"/>
        <w:rPr>
          <w:rFonts w:cs="仿宋"/>
          <w:lang w:val="zh-CN"/>
        </w:rPr>
      </w:pPr>
      <w:r>
        <w:rPr>
          <w:rFonts w:hint="eastAsia" w:cs="仿宋"/>
          <w:lang w:val="zh-CN"/>
        </w:rPr>
        <w:t>现代交通产业功能区微网优联基础设施及配套项目</w:t>
      </w:r>
      <w:r>
        <w:rPr>
          <w:rFonts w:hint="eastAsia" w:cs="仿宋"/>
        </w:rPr>
        <w:t>总投资为101701.06</w:t>
      </w:r>
      <w:r>
        <w:rPr>
          <w:rFonts w:hint="eastAsia" w:cs="仿宋"/>
          <w:lang w:val="zh-CN"/>
        </w:rPr>
        <w:t>万元，资金来源于</w:t>
      </w:r>
      <w:r>
        <w:rPr>
          <w:rFonts w:hint="eastAsia" w:cs="仿宋"/>
        </w:rPr>
        <w:t>项目资本金</w:t>
      </w:r>
      <w:r>
        <w:rPr>
          <w:rFonts w:hint="eastAsia" w:cs="仿宋"/>
          <w:lang w:val="zh-CN"/>
        </w:rPr>
        <w:t>和发行专项债券。其中：</w:t>
      </w:r>
      <w:r>
        <w:rPr>
          <w:rFonts w:hint="eastAsia" w:cs="仿宋"/>
        </w:rPr>
        <w:t>项目资本金21701.06</w:t>
      </w:r>
      <w:r>
        <w:rPr>
          <w:rFonts w:hint="eastAsia" w:cs="仿宋"/>
          <w:lang w:val="zh-CN"/>
        </w:rPr>
        <w:t>万元，占总投资的2</w:t>
      </w:r>
      <w:r>
        <w:rPr>
          <w:rFonts w:hint="eastAsia" w:cs="仿宋"/>
        </w:rPr>
        <w:t>1.34</w:t>
      </w:r>
      <w:r>
        <w:rPr>
          <w:rFonts w:hint="eastAsia" w:cs="仿宋"/>
          <w:lang w:val="zh-CN"/>
        </w:rPr>
        <w:t>%；计划发行专项债融资额度8</w:t>
      </w:r>
      <w:r>
        <w:rPr>
          <w:rFonts w:hint="eastAsia" w:cs="仿宋"/>
        </w:rPr>
        <w:t>00</w:t>
      </w:r>
      <w:r>
        <w:rPr>
          <w:rFonts w:hint="eastAsia" w:cs="仿宋"/>
          <w:lang w:val="zh-CN"/>
        </w:rPr>
        <w:t>00.00万元（计划分</w:t>
      </w:r>
      <w:r>
        <w:rPr>
          <w:rFonts w:hint="eastAsia" w:cs="仿宋"/>
        </w:rPr>
        <w:t>两</w:t>
      </w:r>
      <w:r>
        <w:rPr>
          <w:rFonts w:hint="eastAsia" w:cs="仿宋"/>
          <w:lang w:val="zh-CN"/>
        </w:rPr>
        <w:t>期发行：第一年发行4</w:t>
      </w:r>
      <w:r>
        <w:rPr>
          <w:rFonts w:hint="eastAsia" w:cs="仿宋"/>
        </w:rPr>
        <w:t>00</w:t>
      </w:r>
      <w:r>
        <w:rPr>
          <w:rFonts w:hint="eastAsia" w:cs="仿宋"/>
          <w:lang w:val="zh-CN"/>
        </w:rPr>
        <w:t>00.00万元，第二年发行4</w:t>
      </w:r>
      <w:r>
        <w:rPr>
          <w:rFonts w:hint="eastAsia" w:cs="仿宋"/>
        </w:rPr>
        <w:t>00</w:t>
      </w:r>
      <w:r>
        <w:rPr>
          <w:rFonts w:hint="eastAsia" w:cs="仿宋"/>
          <w:lang w:val="zh-CN"/>
        </w:rPr>
        <w:t>00.00万元），占总投资的</w:t>
      </w:r>
      <w:r>
        <w:rPr>
          <w:rFonts w:hint="eastAsia" w:cs="仿宋"/>
        </w:rPr>
        <w:t>78.66</w:t>
      </w:r>
      <w:r>
        <w:rPr>
          <w:rFonts w:hint="eastAsia" w:cs="仿宋"/>
          <w:lang w:val="zh-CN"/>
        </w:rPr>
        <w:t>%。</w:t>
      </w:r>
    </w:p>
    <w:p>
      <w:pPr>
        <w:ind w:firstLine="480"/>
      </w:pPr>
      <w:r>
        <w:rPr>
          <w:rFonts w:hint="eastAsia"/>
        </w:rPr>
        <w:t>（1）资本金</w:t>
      </w:r>
    </w:p>
    <w:p>
      <w:pPr>
        <w:ind w:firstLine="480"/>
      </w:pPr>
      <w:r>
        <w:rPr>
          <w:rFonts w:hint="eastAsia"/>
        </w:rPr>
        <w:t>本项目资本金21701.06万元，由财政拨款和业主自筹构成。财政拨款部分纳入成都市新都区中期财政规划和相应年度财政预算，财政局按照项目实施进度经合规审批后及时、足额拨付（详见附件）。业主自筹部分，业主单位根据项目实施进度和资金需求，在合法合规程序审批下，及时、足额支付。</w:t>
      </w:r>
    </w:p>
    <w:p>
      <w:pPr>
        <w:ind w:firstLine="480"/>
      </w:pPr>
      <w:r>
        <w:rPr>
          <w:rFonts w:hint="eastAsia"/>
        </w:rPr>
        <w:t>（2）专项债券资金</w:t>
      </w:r>
    </w:p>
    <w:p>
      <w:pPr>
        <w:ind w:firstLine="480"/>
        <w:rPr>
          <w:lang w:val="zh-CN"/>
        </w:rPr>
      </w:pPr>
      <w:r>
        <w:rPr>
          <w:rFonts w:hint="eastAsia"/>
          <w:lang w:val="zh-CN"/>
        </w:rPr>
        <w:t>本项目拟通过发行8</w:t>
      </w:r>
      <w:r>
        <w:rPr>
          <w:rFonts w:hint="eastAsia"/>
        </w:rPr>
        <w:t>00</w:t>
      </w:r>
      <w:r>
        <w:rPr>
          <w:rFonts w:hint="eastAsia"/>
          <w:lang w:val="zh-CN"/>
        </w:rPr>
        <w:t>00.00万元专项债券。计划分两期发行：计划于第一年发行第一期，期限</w:t>
      </w:r>
      <w:r>
        <w:rPr>
          <w:rFonts w:hint="eastAsia"/>
        </w:rPr>
        <w:t>20</w:t>
      </w:r>
      <w:r>
        <w:rPr>
          <w:rFonts w:hint="eastAsia"/>
          <w:lang w:val="zh-CN"/>
        </w:rPr>
        <w:t>年，规模4</w:t>
      </w:r>
      <w:r>
        <w:rPr>
          <w:rFonts w:hint="eastAsia"/>
        </w:rPr>
        <w:t>00</w:t>
      </w:r>
      <w:r>
        <w:rPr>
          <w:rFonts w:hint="eastAsia"/>
          <w:lang w:val="zh-CN"/>
        </w:rPr>
        <w:t>00.00万元；于第二年发行第二期，期限</w:t>
      </w:r>
      <w:r>
        <w:rPr>
          <w:rFonts w:hint="eastAsia"/>
        </w:rPr>
        <w:t>20</w:t>
      </w:r>
      <w:r>
        <w:rPr>
          <w:rFonts w:hint="eastAsia"/>
          <w:lang w:val="zh-CN"/>
        </w:rPr>
        <w:t>年，规模4</w:t>
      </w:r>
      <w:r>
        <w:rPr>
          <w:rFonts w:hint="eastAsia"/>
        </w:rPr>
        <w:t>00</w:t>
      </w:r>
      <w:r>
        <w:rPr>
          <w:rFonts w:hint="eastAsia"/>
          <w:lang w:val="zh-CN"/>
        </w:rPr>
        <w:t>00.00万元。</w:t>
      </w:r>
    </w:p>
    <w:p>
      <w:pPr>
        <w:pStyle w:val="7"/>
        <w:spacing w:before="120" w:after="120"/>
        <w:rPr>
          <w:rFonts w:cs="仿宋"/>
        </w:rPr>
      </w:pPr>
      <w:bookmarkStart w:id="155" w:name="_Toc17391"/>
      <w:bookmarkStart w:id="156" w:name="_Toc4412"/>
      <w:bookmarkStart w:id="157" w:name="_Toc7834"/>
      <w:r>
        <w:rPr>
          <w:rFonts w:hint="eastAsia" w:cs="仿宋"/>
        </w:rPr>
        <w:t>2.项目实施计划</w:t>
      </w:r>
      <w:bookmarkEnd w:id="155"/>
      <w:bookmarkEnd w:id="156"/>
      <w:bookmarkEnd w:id="157"/>
    </w:p>
    <w:p>
      <w:pPr>
        <w:ind w:firstLine="480"/>
      </w:pPr>
      <w:r>
        <w:rPr>
          <w:rFonts w:hint="eastAsia" w:cs="仿宋"/>
        </w:rPr>
        <w:t>本项目的施工工期，是根据工程建设内容，在加强和优化施工组织，多方面实行交叉作业的前提下安排的。根据建筑工程的相关定额和类似工程，建设项目实施计划视工作</w:t>
      </w:r>
      <w:r>
        <w:rPr>
          <w:rFonts w:hint="eastAsia"/>
        </w:rPr>
        <w:t>顺序及资金组织情况。本项目建设期24个月，即从2022年9月到2024年8月完成竣工验收。</w:t>
      </w:r>
    </w:p>
    <w:p>
      <w:pPr>
        <w:ind w:firstLine="480"/>
      </w:pPr>
      <w:r>
        <w:rPr>
          <w:rFonts w:hint="eastAsia"/>
        </w:rPr>
        <w:t>（1）工程施工阶段（含前期准备阶段）：2022年9月-2024年7月</w:t>
      </w:r>
    </w:p>
    <w:p>
      <w:pPr>
        <w:ind w:firstLine="480"/>
        <w:rPr>
          <w:lang w:val="zh-CN"/>
        </w:rPr>
      </w:pPr>
      <w:r>
        <w:rPr>
          <w:rFonts w:hint="eastAsia"/>
          <w:lang w:val="zh-CN"/>
        </w:rPr>
        <w:t>主要工作包括工程的施工，投资机会研究、主体工程建设、设备安装与调试、可研报告的编制和项目评估及决策，初步设计和</w:t>
      </w:r>
      <w:r>
        <w:fldChar w:fldCharType="begin"/>
      </w:r>
      <w:r>
        <w:instrText xml:space="preserve"> HYPERLINK "http://baike.baidu.com/view/1121605.htm" \t "_blank" </w:instrText>
      </w:r>
      <w:r>
        <w:fldChar w:fldCharType="separate"/>
      </w:r>
      <w:r>
        <w:rPr>
          <w:rFonts w:hint="eastAsia"/>
          <w:lang w:val="zh-CN"/>
        </w:rPr>
        <w:t>施工图</w:t>
      </w:r>
      <w:r>
        <w:rPr>
          <w:rFonts w:hint="eastAsia"/>
          <w:lang w:val="zh-CN"/>
        </w:rPr>
        <w:fldChar w:fldCharType="end"/>
      </w:r>
      <w:r>
        <w:rPr>
          <w:rFonts w:hint="eastAsia"/>
          <w:lang w:val="zh-CN"/>
        </w:rPr>
        <w:t>设计，建设条件的准备，工程招标及承包商的选定、签订承包合同等。</w:t>
      </w:r>
    </w:p>
    <w:p>
      <w:pPr>
        <w:ind w:firstLine="480"/>
      </w:pPr>
      <w:r>
        <w:rPr>
          <w:rFonts w:hint="eastAsia"/>
        </w:rPr>
        <w:t>（2）竣工验收阶段：2024年8月</w:t>
      </w:r>
    </w:p>
    <w:p>
      <w:pPr>
        <w:ind w:firstLine="480"/>
      </w:pPr>
      <w:r>
        <w:rPr>
          <w:rFonts w:hint="eastAsia"/>
        </w:rPr>
        <w:t>2024年8月，项目竣工验收，并交付使用。</w:t>
      </w:r>
    </w:p>
    <w:p>
      <w:pPr>
        <w:pStyle w:val="7"/>
      </w:pPr>
      <w:bookmarkStart w:id="158" w:name="_Toc12725"/>
      <w:bookmarkStart w:id="159" w:name="_Toc13870"/>
      <w:bookmarkStart w:id="160" w:name="_Toc17752"/>
      <w:r>
        <w:rPr>
          <w:rFonts w:hint="eastAsia"/>
        </w:rPr>
        <w:t>3.资金使用计划</w:t>
      </w:r>
      <w:bookmarkEnd w:id="158"/>
      <w:bookmarkEnd w:id="159"/>
      <w:bookmarkEnd w:id="160"/>
    </w:p>
    <w:p>
      <w:pPr>
        <w:rPr>
          <w:b/>
          <w:bCs/>
        </w:rPr>
      </w:pPr>
      <w:r>
        <w:rPr>
          <w:rFonts w:hint="eastAsia"/>
          <w:b/>
          <w:bCs/>
        </w:rPr>
        <w:t>根据项目建设进度及建设内容和业主的资金安排，建设计划、资金使用与投资计划相匹配。根据财政部、发展改革委《关于印发地方政府专项债券资金投向领域禁止类项目清单》的通知{财预〔2021〕115号}，承诺本项目若包含文件负面清单建设内容不使用专项债券资金建设。</w:t>
      </w:r>
    </w:p>
    <w:p>
      <w:pPr>
        <w:pStyle w:val="140"/>
        <w:rPr>
          <w:rFonts w:hint="default"/>
        </w:rPr>
      </w:pPr>
      <w:r>
        <w:t>资金使用计划表（金额单位：人民币万元）</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48"/>
        <w:gridCol w:w="2228"/>
        <w:gridCol w:w="1180"/>
        <w:gridCol w:w="1628"/>
        <w:gridCol w:w="1606"/>
        <w:gridCol w:w="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b/>
                <w:sz w:val="21"/>
                <w:szCs w:val="21"/>
              </w:rPr>
            </w:pPr>
            <w:r>
              <w:rPr>
                <w:rFonts w:hint="eastAsia" w:cs="仿宋"/>
                <w:b/>
                <w:bCs/>
                <w:kern w:val="0"/>
                <w:sz w:val="18"/>
                <w:szCs w:val="18"/>
                <w:lang w:bidi="ar"/>
              </w:rPr>
              <w:t>序号</w:t>
            </w:r>
          </w:p>
        </w:tc>
        <w:tc>
          <w:tcPr>
            <w:tcW w:w="2228"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b/>
                <w:sz w:val="21"/>
                <w:szCs w:val="21"/>
              </w:rPr>
            </w:pPr>
            <w:r>
              <w:rPr>
                <w:rFonts w:hint="eastAsia" w:cs="仿宋"/>
                <w:b/>
                <w:bCs/>
                <w:kern w:val="0"/>
                <w:sz w:val="18"/>
                <w:szCs w:val="18"/>
                <w:lang w:bidi="ar"/>
              </w:rPr>
              <w:t>项目名称</w:t>
            </w:r>
          </w:p>
        </w:tc>
        <w:tc>
          <w:tcPr>
            <w:tcW w:w="1180"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b/>
                <w:sz w:val="21"/>
                <w:szCs w:val="21"/>
              </w:rPr>
            </w:pPr>
            <w:r>
              <w:rPr>
                <w:rFonts w:hint="eastAsia" w:cs="仿宋"/>
                <w:b/>
                <w:bCs/>
                <w:kern w:val="0"/>
                <w:sz w:val="18"/>
                <w:szCs w:val="18"/>
                <w:lang w:bidi="ar"/>
              </w:rPr>
              <w:t>合计</w:t>
            </w:r>
          </w:p>
        </w:tc>
        <w:tc>
          <w:tcPr>
            <w:tcW w:w="3234" w:type="dxa"/>
            <w:gridSpan w:val="2"/>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b/>
                <w:sz w:val="21"/>
                <w:szCs w:val="21"/>
                <w:lang w:bidi="ar"/>
              </w:rPr>
            </w:pPr>
            <w:r>
              <w:rPr>
                <w:rFonts w:hint="eastAsia" w:cs="仿宋"/>
                <w:b/>
                <w:bCs/>
                <w:kern w:val="0"/>
                <w:sz w:val="18"/>
                <w:szCs w:val="18"/>
                <w:lang w:bidi="ar"/>
              </w:rPr>
              <w:t>资金来源及分年使用计划</w:t>
            </w:r>
          </w:p>
        </w:tc>
        <w:tc>
          <w:tcPr>
            <w:tcW w:w="966"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b/>
                <w:sz w:val="21"/>
                <w:szCs w:val="21"/>
              </w:rPr>
            </w:pPr>
            <w:r>
              <w:rPr>
                <w:rFonts w:hint="eastAsia" w:cs="仿宋"/>
                <w:b/>
                <w:bCs/>
                <w:kern w:val="0"/>
                <w:sz w:val="18"/>
                <w:szCs w:val="18"/>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1180"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b/>
                <w:bCs/>
                <w:kern w:val="0"/>
                <w:sz w:val="18"/>
                <w:szCs w:val="18"/>
                <w:lang w:bidi="ar"/>
              </w:rPr>
              <w:t>第一年</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b/>
                <w:bCs/>
                <w:kern w:val="0"/>
                <w:sz w:val="18"/>
                <w:szCs w:val="18"/>
                <w:lang w:bidi="ar"/>
              </w:rPr>
              <w:t>第二年</w:t>
            </w:r>
          </w:p>
        </w:tc>
        <w:tc>
          <w:tcPr>
            <w:tcW w:w="966"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项目投资</w:t>
            </w: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项目建设总投资</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97061.06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48530.53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48530.53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95.44%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项目建设期发债利息</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4560.00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1520.00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3040.00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债券发行费</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80.00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40.00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40.00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项目总投资</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101701.06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50090.53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51610.53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restart"/>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资金使用计划</w:t>
            </w: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资本金</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21701.06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10090.53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11610.53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21.34%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发行债券</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80000.00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40000.00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40000.00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78.66%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48" w:type="dxa"/>
            <w:vMerge w:val="continue"/>
            <w:shd w:val="clear" w:color="auto" w:fill="auto"/>
            <w:tcMar>
              <w:top w:w="15" w:type="dxa"/>
              <w:left w:w="15" w:type="dxa"/>
              <w:right w:w="15" w:type="dxa"/>
            </w:tcMar>
            <w:vAlign w:val="center"/>
          </w:tcPr>
          <w:p>
            <w:pPr>
              <w:spacing w:line="240" w:lineRule="auto"/>
              <w:ind w:firstLine="0" w:firstLineChars="0"/>
              <w:jc w:val="center"/>
              <w:rPr>
                <w:rFonts w:cs="仿宋"/>
                <w:sz w:val="21"/>
                <w:szCs w:val="21"/>
              </w:rPr>
            </w:pPr>
          </w:p>
        </w:tc>
        <w:tc>
          <w:tcPr>
            <w:tcW w:w="22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资金使用合计</w:t>
            </w:r>
          </w:p>
        </w:tc>
        <w:tc>
          <w:tcPr>
            <w:tcW w:w="1180"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101701.06 </w:t>
            </w:r>
          </w:p>
        </w:tc>
        <w:tc>
          <w:tcPr>
            <w:tcW w:w="1628"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50090.53 </w:t>
            </w:r>
          </w:p>
        </w:tc>
        <w:tc>
          <w:tcPr>
            <w:tcW w:w="160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 xml:space="preserve">51610.53 </w:t>
            </w:r>
          </w:p>
        </w:tc>
        <w:tc>
          <w:tcPr>
            <w:tcW w:w="966" w:type="dxa"/>
            <w:shd w:val="clear" w:color="auto" w:fill="auto"/>
            <w:tcMar>
              <w:top w:w="15" w:type="dxa"/>
              <w:left w:w="15" w:type="dxa"/>
              <w:right w:w="15" w:type="dxa"/>
            </w:tcMar>
            <w:vAlign w:val="center"/>
          </w:tcPr>
          <w:p>
            <w:pPr>
              <w:widowControl/>
              <w:spacing w:line="240" w:lineRule="auto"/>
              <w:ind w:firstLine="0" w:firstLineChars="0"/>
              <w:jc w:val="center"/>
              <w:textAlignment w:val="center"/>
              <w:rPr>
                <w:rFonts w:cs="仿宋"/>
                <w:sz w:val="21"/>
                <w:szCs w:val="21"/>
              </w:rPr>
            </w:pPr>
            <w:r>
              <w:rPr>
                <w:rFonts w:hint="eastAsia" w:cs="仿宋"/>
                <w:kern w:val="0"/>
                <w:sz w:val="18"/>
                <w:szCs w:val="18"/>
                <w:lang w:bidi="ar"/>
              </w:rPr>
              <w:t>100.00%</w:t>
            </w:r>
          </w:p>
        </w:tc>
      </w:tr>
    </w:tbl>
    <w:p>
      <w:pPr>
        <w:spacing w:before="180"/>
      </w:pPr>
      <w:bookmarkStart w:id="161" w:name="_Toc14669"/>
      <w:bookmarkStart w:id="162" w:name="_Toc2016"/>
      <w:bookmarkStart w:id="163" w:name="_Toc9091"/>
      <w:bookmarkStart w:id="164" w:name="_Toc3699"/>
      <w:r>
        <w:rPr>
          <w:rFonts w:hint="eastAsia"/>
          <w:b/>
          <w:bCs/>
        </w:rPr>
        <w:t>备注：该项目拟实施建设期为24个月。在不超过项目债券总需求情况下，债券分批次跨年发行对项目整体融资平衡不构成实质影响（该段语出专项债正式发行前，四川省财政厅给予发行项目公开信息披露材料《项目情况》的指导模板）。</w:t>
      </w:r>
    </w:p>
    <w:p>
      <w:pPr>
        <w:pStyle w:val="7"/>
        <w:spacing w:before="180"/>
      </w:pPr>
      <w:bookmarkStart w:id="165" w:name="_Toc16865"/>
      <w:r>
        <w:rPr>
          <w:rFonts w:hint="eastAsia"/>
        </w:rPr>
        <w:t>4.资本金来源落实说明</w:t>
      </w:r>
      <w:bookmarkEnd w:id="161"/>
      <w:bookmarkEnd w:id="162"/>
      <w:bookmarkEnd w:id="163"/>
      <w:bookmarkEnd w:id="164"/>
      <w:bookmarkEnd w:id="165"/>
    </w:p>
    <w:p>
      <w:pPr>
        <w:ind w:firstLine="480"/>
        <w:rPr>
          <w:lang w:val="zh-CN"/>
        </w:rPr>
      </w:pPr>
      <w:r>
        <w:rPr>
          <w:rFonts w:hint="eastAsia"/>
          <w:lang w:val="zh-CN"/>
        </w:rPr>
        <w:t>现代交通产业功能区微网优联基础设施及配套项目</w:t>
      </w:r>
      <w:r>
        <w:rPr>
          <w:rFonts w:hint="eastAsia"/>
        </w:rPr>
        <w:t>是成都市新都区确定的重点建设项目，项目</w:t>
      </w:r>
      <w:r>
        <w:rPr>
          <w:rFonts w:hint="eastAsia"/>
          <w:lang w:val="zh-CN"/>
        </w:rPr>
        <w:t>总投资</w:t>
      </w:r>
      <w:r>
        <w:rPr>
          <w:rFonts w:hint="eastAsia"/>
        </w:rPr>
        <w:t>101701.06</w:t>
      </w:r>
      <w:r>
        <w:rPr>
          <w:rFonts w:hint="eastAsia"/>
          <w:lang w:val="zh-CN"/>
        </w:rPr>
        <w:t>万元。其中，项目资本金</w:t>
      </w:r>
      <w:r>
        <w:rPr>
          <w:rFonts w:hint="eastAsia"/>
        </w:rPr>
        <w:t>21701.06</w:t>
      </w:r>
      <w:r>
        <w:rPr>
          <w:rFonts w:hint="eastAsia"/>
          <w:lang w:val="zh-CN"/>
        </w:rPr>
        <w:t>万元，由财政拨款</w:t>
      </w:r>
      <w:r>
        <w:rPr>
          <w:rFonts w:hint="eastAsia"/>
        </w:rPr>
        <w:t>和业主自筹</w:t>
      </w:r>
      <w:r>
        <w:rPr>
          <w:rFonts w:hint="eastAsia"/>
          <w:lang w:val="zh-CN"/>
        </w:rPr>
        <w:t>构成。项目资本金纳入中期财政规划和相应年度财政预算，财政局按照项目实施进度经合规审批后及时、足额拨付（详见附件）。业主单位根据项目实施进度和资金需求，在合法合规程序审批下，及时、足额支付。</w:t>
      </w:r>
    </w:p>
    <w:p>
      <w:pPr>
        <w:pStyle w:val="7"/>
        <w:rPr>
          <w:rFonts w:cs="仿宋"/>
        </w:rPr>
      </w:pPr>
      <w:bookmarkStart w:id="166" w:name="_Toc6782"/>
      <w:bookmarkStart w:id="167" w:name="_Toc27083"/>
      <w:bookmarkStart w:id="168" w:name="_Toc7448"/>
      <w:bookmarkStart w:id="169" w:name="_Toc24644"/>
      <w:bookmarkStart w:id="170" w:name="_Toc3636"/>
      <w:r>
        <w:rPr>
          <w:rFonts w:hint="eastAsia" w:cs="仿宋"/>
        </w:rPr>
        <w:t>5.资金管理方案</w:t>
      </w:r>
      <w:bookmarkEnd w:id="166"/>
      <w:bookmarkEnd w:id="167"/>
      <w:bookmarkEnd w:id="168"/>
      <w:bookmarkEnd w:id="169"/>
      <w:bookmarkEnd w:id="170"/>
    </w:p>
    <w:p>
      <w:pPr>
        <w:ind w:firstLine="480"/>
      </w:pPr>
      <w:bookmarkStart w:id="171" w:name="_Hlk58488767"/>
      <w:r>
        <w:rPr>
          <w:rFonts w:hint="eastAsia"/>
        </w:rPr>
        <w:t>（1）资金流入管理</w:t>
      </w:r>
    </w:p>
    <w:p>
      <w:pPr>
        <w:ind w:firstLine="480"/>
      </w:pPr>
      <w:r>
        <w:rPr>
          <w:rFonts w:hint="eastAsia"/>
        </w:rPr>
        <w:t>严格按照与省级财政部门签订的转贷协议，将专项债收入列入“地方政府专项债务转贷收入”下对应的政府性基金债务转贷收入科目。专项债券资金到位后，将专款专用、分账核算和定期结算。项目竣工验收后，专户管理项目收入，及时向财政局上缴项目收入，以确保项目运营过程中有充足资金偿还专项债券本息。</w:t>
      </w:r>
    </w:p>
    <w:p>
      <w:pPr>
        <w:ind w:firstLine="480"/>
      </w:pPr>
      <w:r>
        <w:rPr>
          <w:rFonts w:hint="eastAsia"/>
        </w:rPr>
        <w:t>（2）资金流出管理</w:t>
      </w:r>
    </w:p>
    <w:p>
      <w:pPr>
        <w:ind w:firstLine="480"/>
        <w:rPr>
          <w:lang w:val="zh-CN"/>
        </w:rPr>
      </w:pPr>
      <w:r>
        <w:rPr>
          <w:rFonts w:hint="eastAsia"/>
          <w:lang w:val="zh-CN"/>
        </w:rPr>
        <w:t>本项目资金由财政局负责工程所需资金的筹措与拨付以及资金使用的监管，执行项目投资控制，确保项目投资控制在估算金额以内，以保证投资控制目标的实现。除偿还借款本息外，偿债资金专户资金不得用作其它用途。临时闲置的偿债资金，只能用于银行存款、国债等流动性较好、低风险</w:t>
      </w:r>
      <w:r>
        <w:rPr>
          <w:rFonts w:hint="eastAsia"/>
        </w:rPr>
        <w:t>保本</w:t>
      </w:r>
      <w:r>
        <w:rPr>
          <w:rFonts w:hint="eastAsia"/>
          <w:lang w:val="zh-CN"/>
        </w:rPr>
        <w:t>投资，并在付息或兑付日前10个工作日全部转化为活期存款。</w:t>
      </w:r>
    </w:p>
    <w:p>
      <w:pPr>
        <w:ind w:firstLine="480"/>
      </w:pPr>
      <w:r>
        <w:rPr>
          <w:rFonts w:hint="eastAsia"/>
        </w:rPr>
        <w:t>（3）专款专用、专户管理、定期结算</w:t>
      </w:r>
    </w:p>
    <w:p>
      <w:pPr>
        <w:ind w:firstLine="480"/>
      </w:pPr>
      <w:r>
        <w:rPr>
          <w:rFonts w:hint="eastAsia"/>
        </w:rPr>
        <w:t>专项债券资金到位后，将专款专用和定期结算。项目单位在银行开立监管账户，委托银行对监管账户的资金用途实行专项管理和使用。按照项目进度分批发放工程资金，根据项目实施情况适当调剂项目使用资金，避免工程资金的浪费和资金紧缺。项目竣工验收后，项目业主将及时申请获批经营性项目运营管理及收费方案，专户管理项目收入，及时向财政局上缴项目收入，以确保项目运营过程中有充足资金偿还专项债券本息。资金使用单位将定期向行业主管部门、项目资金主管部门报送项目进度情况及资金的实际使用情况。</w:t>
      </w:r>
    </w:p>
    <w:p>
      <w:pPr>
        <w:ind w:firstLine="480"/>
      </w:pPr>
      <w:r>
        <w:rPr>
          <w:rFonts w:hint="eastAsia"/>
        </w:rPr>
        <w:t>（4）完善募集资金管理制度</w:t>
      </w:r>
    </w:p>
    <w:p>
      <w:pPr>
        <w:ind w:firstLine="480"/>
      </w:pPr>
      <w:r>
        <w:rPr>
          <w:rFonts w:hint="eastAsia"/>
        </w:rPr>
        <w:t>财政局将制定完善的资金管理制度，对募集资金实行集中管理和统一调配。使用本期债券募集资金的投资项目将根据项目进度情况和项目资金预算情况，统一纳入当地年度投资计划进行管理。此外，募集资金使用部门将定期向行业主管部门、项目资金主管部门报送项目进度情况及资金的实际使用情况。</w:t>
      </w:r>
    </w:p>
    <w:p>
      <w:pPr>
        <w:ind w:firstLine="480"/>
      </w:pPr>
      <w:r>
        <w:rPr>
          <w:rFonts w:hint="eastAsia"/>
        </w:rPr>
        <w:t>（5）设立资金应急管理机制</w:t>
      </w:r>
    </w:p>
    <w:p>
      <w:pPr>
        <w:ind w:firstLine="480"/>
      </w:pPr>
      <w:r>
        <w:rPr>
          <w:rFonts w:hint="eastAsia"/>
        </w:rPr>
        <w:t>项目建设和运营过程中尽可能通过购买保险和加强监管规避风险。若在项目存续期内，项目收益较少导致无法按时偿还债券本息时，项目主管单位应梳理是否存在应收未收到的款项，并进行分级评价，根据重要性不同，安排不同的人进行跟踪收回。若因原材料、人工成本上升等市场因素导致项目实际总投资超出计划总投资，主管单位将通过其他融资渠道，例如追加自有资金等方式筹集资金满足项目建设需要，确保工程按时竣工完成。若因为运营过程中发生不可预见的风险导致项目难以按约定支付专项债券利息时，市政府在保证政府性基金预算收入中相关的其他项目收支正常的情况下，按照法律法规暂时借用于本项目支出。</w:t>
      </w:r>
      <w:bookmarkEnd w:id="171"/>
      <w:bookmarkStart w:id="172" w:name="_Toc19188"/>
      <w:bookmarkStart w:id="173" w:name="_Toc32509"/>
    </w:p>
    <w:p>
      <w:pPr>
        <w:pStyle w:val="7"/>
        <w:spacing w:before="120" w:after="120"/>
        <w:rPr>
          <w:rFonts w:cs="仿宋"/>
        </w:rPr>
      </w:pPr>
      <w:bookmarkStart w:id="174" w:name="_Toc27282"/>
      <w:bookmarkStart w:id="175" w:name="_Toc6074"/>
      <w:bookmarkStart w:id="176" w:name="_Toc28594"/>
      <w:r>
        <w:rPr>
          <w:rFonts w:hint="eastAsia" w:cs="仿宋"/>
          <w:szCs w:val="20"/>
        </w:rPr>
        <w:t>6.</w:t>
      </w:r>
      <w:r>
        <w:rPr>
          <w:rFonts w:hint="eastAsia" w:cs="仿宋"/>
        </w:rPr>
        <w:t>资金保障措施</w:t>
      </w:r>
      <w:bookmarkEnd w:id="172"/>
      <w:bookmarkEnd w:id="173"/>
      <w:bookmarkEnd w:id="174"/>
      <w:bookmarkEnd w:id="175"/>
      <w:bookmarkEnd w:id="176"/>
    </w:p>
    <w:p>
      <w:pPr>
        <w:ind w:firstLine="480"/>
      </w:pPr>
      <w:r>
        <w:rPr>
          <w:rFonts w:hint="eastAsia"/>
        </w:rPr>
        <w:t>（1）对项目进行周密的安排，并严格执行</w:t>
      </w:r>
    </w:p>
    <w:p>
      <w:pPr>
        <w:ind w:firstLine="480"/>
      </w:pPr>
      <w:r>
        <w:rPr>
          <w:rFonts w:hint="eastAsia"/>
        </w:rPr>
        <w:t>充分考虑项目建设的特点，根据项目建设进度要求编制详细的资金使用计划，并根据工程的具体进展情况，及时对计划进行调整。建设单位于每月固定时间对施工方上报的《项目资金收支情况》进行审核。项目建设过程中，严格资金计划执行，定期对资金计划执行情况进行跟踪检查，比较、核对实际费用支出额与计划费用支出额，并分析产生偏差的原因，采取有效措施加以控制。</w:t>
      </w:r>
    </w:p>
    <w:p>
      <w:pPr>
        <w:ind w:firstLine="480"/>
      </w:pPr>
      <w:r>
        <w:rPr>
          <w:rFonts w:hint="eastAsia"/>
        </w:rPr>
        <w:t>（2）定期审核投资估算，及时调整策略</w:t>
      </w:r>
    </w:p>
    <w:p>
      <w:pPr>
        <w:ind w:firstLine="480"/>
      </w:pPr>
      <w:r>
        <w:rPr>
          <w:rFonts w:hint="eastAsia"/>
        </w:rPr>
        <w:t>根据稳健性原则，在进行投资估算时，适当考虑计入一定比例的不可预见费；在实施过程中，定期（一般按年）对估算投资进行审核验证，如发现对估算投资产生重大影响的变化，及时对估算投资进行调整，并调整融资策略。若专项债券资金不能及时到位，将积极申请财政专项资金或由项目单位垫付或其他方式等解决项目资金需求。</w:t>
      </w:r>
    </w:p>
    <w:p>
      <w:pPr>
        <w:ind w:firstLine="480"/>
      </w:pPr>
      <w:r>
        <w:rPr>
          <w:rFonts w:hint="eastAsia"/>
        </w:rPr>
        <w:t>（3）完善募集资金管理制度</w:t>
      </w:r>
    </w:p>
    <w:p>
      <w:pPr>
        <w:ind w:firstLine="480"/>
      </w:pPr>
      <w:r>
        <w:rPr>
          <w:rFonts w:hint="eastAsia"/>
        </w:rPr>
        <w:t>成都市新都区财政局、成都市新都现代交通产业功能区管理委员会制定了完善的资金管理制度，对募集资金实行集中管理、统一调配。使用债券募集资金的投资项目将根据项目进度情况和资金预算情况统一纳入年度投资计划进行管理。募集资金使用部门将定期向各相关职能部门报送项目进度情况及资金的实际使用情况。</w:t>
      </w:r>
    </w:p>
    <w:p>
      <w:pPr>
        <w:pStyle w:val="7"/>
        <w:spacing w:before="120" w:after="120"/>
      </w:pPr>
      <w:bookmarkStart w:id="177" w:name="_Toc11264"/>
      <w:bookmarkStart w:id="178" w:name="_Toc25143"/>
      <w:bookmarkStart w:id="179" w:name="_Toc29911"/>
      <w:r>
        <w:rPr>
          <w:rFonts w:hint="eastAsia"/>
        </w:rPr>
        <w:t>7.项目主管部门及责任主体</w:t>
      </w:r>
      <w:bookmarkEnd w:id="177"/>
      <w:bookmarkEnd w:id="178"/>
      <w:bookmarkEnd w:id="179"/>
    </w:p>
    <w:p>
      <w:pPr>
        <w:ind w:firstLine="480"/>
        <w:rPr>
          <w:rFonts w:cs="仿宋"/>
        </w:rPr>
      </w:pPr>
      <w:r>
        <w:rPr>
          <w:rFonts w:hint="eastAsia" w:cs="仿宋"/>
        </w:rPr>
        <w:t>该项目涉及多个职能部门，为统一组织，保障协调各项工作的顺利开展，责任部门进行明确分工。具体分工如下：</w:t>
      </w:r>
    </w:p>
    <w:p>
      <w:pPr>
        <w:ind w:firstLine="480"/>
      </w:pPr>
      <w:r>
        <w:rPr>
          <w:rFonts w:hint="eastAsia"/>
        </w:rPr>
        <w:t>（1）项目主管单位：成都市新都现代交通产业功能区管理委员会</w:t>
      </w:r>
    </w:p>
    <w:p>
      <w:pPr>
        <w:ind w:firstLine="480"/>
      </w:pPr>
      <w:r>
        <w:rPr>
          <w:rFonts w:hint="eastAsia"/>
        </w:rPr>
        <w:t>主要职责包括：①向当地区委、区政府总结汇报项目实施情况，贯彻落实上级指示要求；②研究解决项目实施中的其他重大问题；③制定并完善项目资金管理制度。</w:t>
      </w:r>
    </w:p>
    <w:p>
      <w:pPr>
        <w:ind w:firstLine="480"/>
      </w:pPr>
      <w:r>
        <w:rPr>
          <w:rFonts w:hint="eastAsia"/>
        </w:rPr>
        <w:t>（2）项目资金主管部门：成都市新都区财政局</w:t>
      </w:r>
    </w:p>
    <w:p>
      <w:pPr>
        <w:ind w:firstLine="480"/>
      </w:pPr>
      <w:r>
        <w:rPr>
          <w:rFonts w:hint="eastAsia"/>
        </w:rPr>
        <w:t>主要职责包括：①配合落实项目配套专项债券资金；②监督项目资金的实际使用情况及对本期债券本息的按期偿付情况。</w:t>
      </w:r>
    </w:p>
    <w:p>
      <w:pPr>
        <w:ind w:firstLine="480"/>
      </w:pPr>
      <w:r>
        <w:rPr>
          <w:rFonts w:hint="eastAsia"/>
        </w:rPr>
        <w:t>（3）项目业主单位：成都盛丰邦瑞投资有限公司</w:t>
      </w:r>
    </w:p>
    <w:p>
      <w:pPr>
        <w:ind w:firstLine="480"/>
      </w:pPr>
      <w:r>
        <w:rPr>
          <w:rFonts w:hint="eastAsia"/>
        </w:rPr>
        <w:t>主要职责包括：①根据项目实施计划开展工程建设等相关工作；②保证项目资金的使用与项目实施进度相匹配；③定期向行业主管部门、主管单位及项目资金主管部门汇报项目实施进度及项目资金使用情况；④项目业主或项目业主指定分、子公司或控股公司负责该项目或该项目子项目的具体建设、运营、管理工作。</w:t>
      </w:r>
    </w:p>
    <w:p>
      <w:pPr>
        <w:ind w:firstLine="480"/>
      </w:pPr>
    </w:p>
    <w:p>
      <w:pPr>
        <w:widowControl/>
        <w:spacing w:line="240" w:lineRule="auto"/>
        <w:ind w:firstLine="0" w:firstLineChars="0"/>
        <w:jc w:val="left"/>
      </w:pPr>
      <w:r>
        <w:br w:type="page"/>
      </w:r>
    </w:p>
    <w:p>
      <w:pPr>
        <w:pStyle w:val="5"/>
        <w:rPr>
          <w:rFonts w:cs="仿宋"/>
        </w:rPr>
      </w:pPr>
      <w:bookmarkStart w:id="180" w:name="_Toc11521"/>
      <w:bookmarkStart w:id="181" w:name="_Toc55468467"/>
      <w:bookmarkStart w:id="182" w:name="_Toc23997"/>
      <w:bookmarkStart w:id="183" w:name="_Toc2385"/>
      <w:bookmarkStart w:id="184" w:name="_Toc23362"/>
      <w:bookmarkStart w:id="185" w:name="_Toc3713"/>
      <w:bookmarkStart w:id="186" w:name="_Hlk55993101"/>
      <w:r>
        <w:rPr>
          <w:rFonts w:hint="eastAsia" w:cs="仿宋"/>
        </w:rPr>
        <w:t>四、项目预期收益、成本及融资平衡情况</w:t>
      </w:r>
      <w:bookmarkEnd w:id="180"/>
      <w:bookmarkEnd w:id="181"/>
      <w:bookmarkEnd w:id="182"/>
      <w:bookmarkEnd w:id="183"/>
      <w:bookmarkEnd w:id="184"/>
      <w:bookmarkEnd w:id="185"/>
    </w:p>
    <w:p>
      <w:pPr>
        <w:pStyle w:val="6"/>
      </w:pPr>
      <w:bookmarkStart w:id="187" w:name="_Toc55468468"/>
      <w:bookmarkStart w:id="188" w:name="_Toc13822"/>
      <w:bookmarkStart w:id="189" w:name="_Toc19655"/>
      <w:bookmarkStart w:id="190" w:name="_Toc28625"/>
      <w:bookmarkStart w:id="191" w:name="_Toc6407"/>
      <w:bookmarkStart w:id="192" w:name="_Toc19393"/>
      <w:r>
        <w:rPr>
          <w:rFonts w:hint="eastAsia"/>
        </w:rPr>
        <w:t>（一）预期收益</w:t>
      </w:r>
      <w:bookmarkEnd w:id="187"/>
      <w:bookmarkEnd w:id="188"/>
      <w:bookmarkEnd w:id="189"/>
      <w:bookmarkEnd w:id="190"/>
      <w:bookmarkEnd w:id="191"/>
      <w:bookmarkEnd w:id="192"/>
    </w:p>
    <w:p>
      <w:pPr>
        <w:pStyle w:val="7"/>
      </w:pPr>
      <w:bookmarkStart w:id="193" w:name="_Toc28333"/>
      <w:bookmarkStart w:id="194" w:name="_Toc17766"/>
      <w:bookmarkStart w:id="195" w:name="_Toc29129"/>
      <w:bookmarkStart w:id="196" w:name="_Toc21720"/>
      <w:bookmarkStart w:id="197" w:name="_Toc26870"/>
      <w:r>
        <w:rPr>
          <w:rFonts w:hint="eastAsia"/>
        </w:rPr>
        <w:t>1.项目收入</w:t>
      </w:r>
      <w:bookmarkEnd w:id="193"/>
      <w:bookmarkEnd w:id="194"/>
      <w:bookmarkEnd w:id="195"/>
      <w:bookmarkEnd w:id="196"/>
      <w:bookmarkEnd w:id="197"/>
    </w:p>
    <w:p>
      <w:pPr>
        <w:ind w:firstLine="480"/>
      </w:pPr>
      <w:r>
        <w:rPr>
          <w:rFonts w:hint="eastAsia"/>
        </w:rPr>
        <w:t>（1）项目收入可行性</w:t>
      </w:r>
    </w:p>
    <w:p>
      <w:pPr>
        <w:ind w:firstLine="480"/>
      </w:pPr>
      <w:r>
        <w:rPr>
          <w:rFonts w:hint="eastAsia"/>
        </w:rPr>
        <w:t>根据财政部《关于试点发展项目收益与融资自求平衡的地方政府专项债券品种的通知》（财预〔2017〕89号），专项债券对应的项目取得的政府性基金或专项收入，应当按照该项目对应的专项债券余额统筹安排资金，专门用于偿还到期债券本息。</w:t>
      </w:r>
    </w:p>
    <w:p>
      <w:pPr>
        <w:ind w:firstLine="480"/>
      </w:pPr>
      <w:r>
        <w:rPr>
          <w:rFonts w:hint="eastAsia"/>
        </w:rPr>
        <w:t>项目建成后，微网大楼出租收入、核心厂房及多功能厂房出租收入、生活配套用房出租收入、物管费收入、充电桩收入、停车费收入、广告牌收入等成为稳定的收入来源，本项目收入为纳入政府性基金预算管理的专项收入。项目竣工验收后产生的收入将按规定及时纳入当地财政国库，由财政集中管理、统一调配，专项用于偿还该项目到期债券本息。</w:t>
      </w:r>
    </w:p>
    <w:p>
      <w:pPr>
        <w:ind w:firstLine="480"/>
      </w:pPr>
      <w:r>
        <w:rPr>
          <w:rFonts w:hint="eastAsia"/>
        </w:rPr>
        <w:t>本项目收入来源合规合理，收入预测有据可依，整体具有可行性。</w:t>
      </w:r>
    </w:p>
    <w:p>
      <w:pPr>
        <w:ind w:firstLine="480"/>
      </w:pPr>
      <w:r>
        <w:rPr>
          <w:rFonts w:hint="eastAsia"/>
        </w:rPr>
        <w:t>（2）项目收入的分类</w:t>
      </w:r>
    </w:p>
    <w:p>
      <w:pPr>
        <w:ind w:firstLine="480"/>
      </w:pPr>
      <w:r>
        <w:rPr>
          <w:rFonts w:hint="eastAsia"/>
        </w:rPr>
        <w:t>本项目收益来源主要为项目运营收入，主要包含：微网大楼出租收入、核心厂房及多功能厂房出租收入、生活配套用房出租收入、物管费收入、充电桩收入、停车费收入、广告牌收入等，本项目收入为纳入政府性基金预算管理的专项收入。项目竣工验收后产生的收入将按规定及时纳入当地财政国库，由财政集中管理、统一调配，专项用于偿还该项目到期债券本息。</w:t>
      </w:r>
    </w:p>
    <w:p>
      <w:pPr>
        <w:ind w:firstLine="480"/>
      </w:pPr>
      <w:r>
        <w:rPr>
          <w:rFonts w:hint="eastAsia"/>
        </w:rPr>
        <w:t>（3）项目收入预测</w:t>
      </w:r>
    </w:p>
    <w:p>
      <w:pPr>
        <w:ind w:firstLine="480"/>
      </w:pPr>
      <w:r>
        <w:rPr>
          <w:rFonts w:hint="eastAsia"/>
        </w:rPr>
        <w:t>本项目收益来源主要为项目运营收入(其中包含：微网大楼出租收入、核心厂房及多功能厂房出租收入、生活配套用房出租收入、物管费收入、充电桩收入、停车费收入、广告牌收入）共计205274.42万元、占比90.00%；补贴收入共计22800.00万元、占比10.00%。具体测算及依据如下：</w:t>
      </w:r>
    </w:p>
    <w:p>
      <w:pPr>
        <w:ind w:firstLine="480"/>
        <w:rPr>
          <w:rFonts w:cs="仿宋"/>
        </w:rPr>
      </w:pPr>
      <w:r>
        <w:rPr>
          <w:rFonts w:hint="eastAsia" w:cs="仿宋"/>
        </w:rPr>
        <w:t>①微网大楼出租收入</w:t>
      </w:r>
    </w:p>
    <w:p>
      <w:pPr>
        <w:ind w:firstLine="480"/>
        <w:rPr>
          <w:rFonts w:cs="仿宋"/>
          <w:lang w:val="zh-CN"/>
        </w:rPr>
      </w:pPr>
      <w:r>
        <w:rPr>
          <w:rFonts w:hint="eastAsia" w:cs="仿宋"/>
        </w:rPr>
        <w:t>根据可行性研究报告，本项目微网大楼共计建筑面积33656.42平方米。拟采用出租方式经营管理，出租价格按42元/月/平方米，且每三年按8%上涨计算，出租率近期为70%，远期达到95%</w:t>
      </w:r>
      <w:r>
        <w:rPr>
          <w:rFonts w:hint="eastAsia" w:cs="仿宋"/>
          <w:lang w:val="zh-CN"/>
        </w:rPr>
        <w:t>。</w:t>
      </w:r>
    </w:p>
    <w:p>
      <w:pPr>
        <w:ind w:firstLine="480"/>
        <w:jc w:val="center"/>
        <w:rPr>
          <w:lang w:val="zh-CN"/>
        </w:rPr>
      </w:pPr>
      <w:r>
        <w:drawing>
          <wp:inline distT="0" distB="0" distL="114300" distR="114300">
            <wp:extent cx="5728970" cy="886460"/>
            <wp:effectExtent l="0" t="0" r="11430" b="254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0"/>
                    <a:stretch>
                      <a:fillRect/>
                    </a:stretch>
                  </pic:blipFill>
                  <pic:spPr>
                    <a:xfrm>
                      <a:off x="0" y="0"/>
                      <a:ext cx="5728970" cy="886460"/>
                    </a:xfrm>
                    <a:prstGeom prst="rect">
                      <a:avLst/>
                    </a:prstGeom>
                    <a:noFill/>
                    <a:ln>
                      <a:noFill/>
                    </a:ln>
                  </pic:spPr>
                </pic:pic>
              </a:graphicData>
            </a:graphic>
          </wp:inline>
        </w:drawing>
      </w:r>
      <w:r>
        <w:drawing>
          <wp:inline distT="0" distB="0" distL="114300" distR="114300">
            <wp:extent cx="5730875" cy="916940"/>
            <wp:effectExtent l="0" t="0" r="9525" b="1016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1"/>
                    <a:stretch>
                      <a:fillRect/>
                    </a:stretch>
                  </pic:blipFill>
                  <pic:spPr>
                    <a:xfrm>
                      <a:off x="0" y="0"/>
                      <a:ext cx="5730875" cy="916940"/>
                    </a:xfrm>
                    <a:prstGeom prst="rect">
                      <a:avLst/>
                    </a:prstGeom>
                    <a:noFill/>
                    <a:ln>
                      <a:noFill/>
                    </a:ln>
                  </pic:spPr>
                </pic:pic>
              </a:graphicData>
            </a:graphic>
          </wp:inline>
        </w:drawing>
      </w:r>
    </w:p>
    <w:p>
      <w:pPr>
        <w:pStyle w:val="140"/>
        <w:rPr>
          <w:rFonts w:hint="default"/>
          <w:sz w:val="21"/>
          <w:szCs w:val="16"/>
          <w:lang w:val="zh-CN"/>
        </w:rPr>
      </w:pPr>
      <w:r>
        <w:rPr>
          <w:lang w:val="zh-CN"/>
        </w:rPr>
        <w:t>微网大楼出租收入依据</w:t>
      </w:r>
    </w:p>
    <w:p>
      <w:pPr>
        <w:ind w:firstLine="480"/>
        <w:rPr>
          <w:rFonts w:cs="仿宋"/>
          <w:lang w:val="zh-CN"/>
        </w:rPr>
      </w:pPr>
      <w:r>
        <w:rPr>
          <w:rFonts w:hint="eastAsia" w:cs="仿宋"/>
        </w:rPr>
        <w:t>②</w:t>
      </w:r>
      <w:r>
        <w:rPr>
          <w:rFonts w:hint="eastAsia" w:cs="仿宋"/>
          <w:lang w:val="zh-CN"/>
        </w:rPr>
        <w:t>核心厂房及多功能厂房出租收入</w:t>
      </w:r>
    </w:p>
    <w:p>
      <w:pPr>
        <w:ind w:firstLine="480"/>
        <w:rPr>
          <w:rFonts w:cs="仿宋"/>
        </w:rPr>
      </w:pPr>
      <w:r>
        <w:rPr>
          <w:rFonts w:hint="eastAsia" w:cs="仿宋"/>
        </w:rPr>
        <w:t>根据可行性研究报告，本项目核心厂房及多功能厂房共计建筑面积125137.85 平方米（其中：核心厂房建筑面积76596.27平方米、多功能厂房建筑面积48541.58平方米）。拟采用出租方式经营管理，出租价格按40元/月/平方米，且每三年按8%上涨计算，出租率近期为70%，远期达到95%。</w:t>
      </w:r>
    </w:p>
    <w:p>
      <w:pPr>
        <w:ind w:firstLine="480"/>
        <w:jc w:val="center"/>
        <w:rPr>
          <w:lang w:val="zh-CN"/>
        </w:rPr>
      </w:pPr>
      <w:r>
        <w:drawing>
          <wp:inline distT="0" distB="0" distL="114300" distR="114300">
            <wp:extent cx="5726430" cy="944245"/>
            <wp:effectExtent l="0" t="0" r="1270" b="825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32"/>
                    <a:stretch>
                      <a:fillRect/>
                    </a:stretch>
                  </pic:blipFill>
                  <pic:spPr>
                    <a:xfrm>
                      <a:off x="0" y="0"/>
                      <a:ext cx="5726430" cy="944245"/>
                    </a:xfrm>
                    <a:prstGeom prst="rect">
                      <a:avLst/>
                    </a:prstGeom>
                    <a:noFill/>
                    <a:ln>
                      <a:noFill/>
                    </a:ln>
                  </pic:spPr>
                </pic:pic>
              </a:graphicData>
            </a:graphic>
          </wp:inline>
        </w:drawing>
      </w:r>
      <w:r>
        <w:drawing>
          <wp:inline distT="0" distB="0" distL="114300" distR="114300">
            <wp:extent cx="5725160" cy="845820"/>
            <wp:effectExtent l="0" t="0" r="2540" b="508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33"/>
                    <a:stretch>
                      <a:fillRect/>
                    </a:stretch>
                  </pic:blipFill>
                  <pic:spPr>
                    <a:xfrm>
                      <a:off x="0" y="0"/>
                      <a:ext cx="5725160" cy="845820"/>
                    </a:xfrm>
                    <a:prstGeom prst="rect">
                      <a:avLst/>
                    </a:prstGeom>
                    <a:noFill/>
                    <a:ln>
                      <a:noFill/>
                    </a:ln>
                  </pic:spPr>
                </pic:pic>
              </a:graphicData>
            </a:graphic>
          </wp:inline>
        </w:drawing>
      </w:r>
    </w:p>
    <w:p>
      <w:pPr>
        <w:pStyle w:val="140"/>
        <w:rPr>
          <w:rFonts w:hint="default"/>
          <w:lang w:val="zh-CN"/>
        </w:rPr>
      </w:pPr>
      <w:r>
        <w:rPr>
          <w:lang w:val="zh-CN"/>
        </w:rPr>
        <w:t>核心厂房及多功能厂房出租收入依据</w:t>
      </w:r>
    </w:p>
    <w:p>
      <w:pPr>
        <w:ind w:firstLine="480"/>
        <w:rPr>
          <w:rFonts w:cs="仿宋"/>
          <w:lang w:val="zh-CN"/>
        </w:rPr>
      </w:pPr>
      <w:r>
        <w:rPr>
          <w:rFonts w:hint="eastAsia" w:cs="仿宋"/>
        </w:rPr>
        <w:t>③</w:t>
      </w:r>
      <w:r>
        <w:rPr>
          <w:rFonts w:hint="eastAsia" w:cs="仿宋"/>
          <w:lang w:val="zh-CN"/>
        </w:rPr>
        <w:t>生活配套用房出租收入</w:t>
      </w:r>
    </w:p>
    <w:p>
      <w:pPr>
        <w:ind w:firstLine="480"/>
        <w:rPr>
          <w:rFonts w:cs="仿宋"/>
          <w:lang w:val="zh-CN"/>
        </w:rPr>
      </w:pPr>
      <w:r>
        <w:rPr>
          <w:rFonts w:hint="eastAsia" w:cs="仿宋"/>
        </w:rPr>
        <w:t>根据可行性研究报告，本项目生活配套用房共计建筑面积19836.53平方米。拟采用出租方式经营管理，出租价格按42元/月/平方米，且每三年按8%上涨计算，出租率近期为70%，远期达到95%</w:t>
      </w:r>
      <w:r>
        <w:rPr>
          <w:rFonts w:hint="eastAsia" w:cs="仿宋"/>
          <w:lang w:val="zh-CN"/>
        </w:rPr>
        <w:t>。</w:t>
      </w:r>
    </w:p>
    <w:p>
      <w:pPr>
        <w:ind w:firstLine="480"/>
        <w:rPr>
          <w:lang w:val="zh-CN"/>
        </w:rPr>
      </w:pPr>
      <w:r>
        <w:drawing>
          <wp:inline distT="0" distB="0" distL="114300" distR="114300">
            <wp:extent cx="5727700" cy="1007110"/>
            <wp:effectExtent l="0" t="0" r="0" b="889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34"/>
                    <a:stretch>
                      <a:fillRect/>
                    </a:stretch>
                  </pic:blipFill>
                  <pic:spPr>
                    <a:xfrm>
                      <a:off x="0" y="0"/>
                      <a:ext cx="5727700" cy="1007110"/>
                    </a:xfrm>
                    <a:prstGeom prst="rect">
                      <a:avLst/>
                    </a:prstGeom>
                    <a:noFill/>
                    <a:ln>
                      <a:noFill/>
                    </a:ln>
                  </pic:spPr>
                </pic:pic>
              </a:graphicData>
            </a:graphic>
          </wp:inline>
        </w:drawing>
      </w:r>
      <w:r>
        <w:drawing>
          <wp:inline distT="0" distB="0" distL="114300" distR="114300">
            <wp:extent cx="5724525" cy="868045"/>
            <wp:effectExtent l="0" t="0" r="3175" b="825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35"/>
                    <a:stretch>
                      <a:fillRect/>
                    </a:stretch>
                  </pic:blipFill>
                  <pic:spPr>
                    <a:xfrm>
                      <a:off x="0" y="0"/>
                      <a:ext cx="5724525" cy="868045"/>
                    </a:xfrm>
                    <a:prstGeom prst="rect">
                      <a:avLst/>
                    </a:prstGeom>
                    <a:noFill/>
                    <a:ln>
                      <a:noFill/>
                    </a:ln>
                  </pic:spPr>
                </pic:pic>
              </a:graphicData>
            </a:graphic>
          </wp:inline>
        </w:drawing>
      </w:r>
    </w:p>
    <w:p>
      <w:pPr>
        <w:pStyle w:val="140"/>
        <w:rPr>
          <w:rFonts w:hint="default"/>
          <w:lang w:val="zh-CN"/>
        </w:rPr>
      </w:pPr>
      <w:r>
        <w:rPr>
          <w:lang w:val="zh-CN"/>
        </w:rPr>
        <w:t>生活配套用房出租收入依据</w:t>
      </w:r>
    </w:p>
    <w:p>
      <w:pPr>
        <w:ind w:firstLine="480"/>
        <w:rPr>
          <w:rFonts w:cs="仿宋"/>
          <w:lang w:val="zh-CN"/>
        </w:rPr>
      </w:pPr>
      <w:r>
        <w:rPr>
          <w:rFonts w:hint="eastAsia" w:cs="仿宋"/>
        </w:rPr>
        <w:t>④</w:t>
      </w:r>
      <w:r>
        <w:rPr>
          <w:rFonts w:hint="eastAsia" w:cs="仿宋"/>
          <w:lang w:val="zh-CN"/>
        </w:rPr>
        <w:t>物管费收入</w:t>
      </w:r>
    </w:p>
    <w:p>
      <w:pPr>
        <w:ind w:firstLine="480"/>
        <w:rPr>
          <w:rFonts w:cs="仿宋"/>
        </w:rPr>
      </w:pPr>
      <w:bookmarkStart w:id="198" w:name="_Hlk58352207"/>
      <w:r>
        <w:rPr>
          <w:rFonts w:hint="eastAsia" w:cs="仿宋"/>
        </w:rPr>
        <w:t>根据可行性研究报告，</w:t>
      </w:r>
      <w:bookmarkEnd w:id="198"/>
      <w:r>
        <w:rPr>
          <w:rFonts w:hint="eastAsia" w:cs="仿宋"/>
        </w:rPr>
        <w:t>本项目物管费计费依据按照微网大楼、生活配套用房、核心厂房及多功能厂房实际出租面积计算，综合物管费单价按1.00元/月/平方米，且每五年按5%上涨计算。</w:t>
      </w:r>
    </w:p>
    <w:p>
      <w:pPr>
        <w:ind w:firstLine="480"/>
        <w:rPr>
          <w:rFonts w:cs="仿宋"/>
          <w:lang w:val="zh-CN"/>
        </w:rPr>
      </w:pPr>
      <w:r>
        <w:rPr>
          <w:rFonts w:hint="eastAsia" w:cs="仿宋"/>
        </w:rPr>
        <w:t>⑤充电桩</w:t>
      </w:r>
      <w:r>
        <w:rPr>
          <w:rFonts w:hint="eastAsia" w:cs="仿宋"/>
          <w:lang w:val="zh-CN"/>
        </w:rPr>
        <w:t>收入</w:t>
      </w:r>
    </w:p>
    <w:p>
      <w:pPr>
        <w:ind w:firstLine="480"/>
        <w:rPr>
          <w:rFonts w:cs="仿宋"/>
          <w:lang w:val="zh-CN"/>
        </w:rPr>
      </w:pPr>
      <w:r>
        <w:rPr>
          <w:rFonts w:hint="eastAsia" w:cs="仿宋"/>
        </w:rPr>
        <w:t>根据可行性研究报告，</w:t>
      </w:r>
      <w:r>
        <w:rPr>
          <w:rFonts w:hint="eastAsia" w:cs="仿宋"/>
          <w:lang w:val="zh-CN"/>
        </w:rPr>
        <w:t>本项目拟规划新能源充电桩停车位共计82个，根据查询目前最新的纯电动汽车电量大约在40kwh-100kwh之间。本项目根据谨慎性原则，预测每车平均充电电量为60kwh，充电桩服务费为0.60元/kwh、每五年上浮8% ，周转率为2.5、每三年增长0.1，出租率近期50%、远期稳定在85%。</w:t>
      </w:r>
    </w:p>
    <w:p>
      <w:pPr>
        <w:ind w:firstLine="480"/>
        <w:rPr>
          <w:lang w:val="zh-CN"/>
        </w:rPr>
      </w:pPr>
      <w:r>
        <w:rPr>
          <w:rFonts w:hint="eastAsia"/>
        </w:rPr>
        <w:drawing>
          <wp:inline distT="0" distB="0" distL="0" distR="0">
            <wp:extent cx="5295900" cy="48133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6"/>
                    <a:stretch>
                      <a:fillRect/>
                    </a:stretch>
                  </pic:blipFill>
                  <pic:spPr>
                    <a:xfrm>
                      <a:off x="0" y="0"/>
                      <a:ext cx="5302211" cy="4819462"/>
                    </a:xfrm>
                    <a:prstGeom prst="rect">
                      <a:avLst/>
                    </a:prstGeom>
                  </pic:spPr>
                </pic:pic>
              </a:graphicData>
            </a:graphic>
          </wp:inline>
        </w:drawing>
      </w:r>
    </w:p>
    <w:p>
      <w:pPr>
        <w:pStyle w:val="140"/>
        <w:rPr>
          <w:rFonts w:hint="default"/>
          <w:lang w:val="zh-CN"/>
        </w:rPr>
      </w:pPr>
      <w:r>
        <w:drawing>
          <wp:inline distT="0" distB="0" distL="114300" distR="114300">
            <wp:extent cx="4370705" cy="3315335"/>
            <wp:effectExtent l="0" t="0" r="127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7"/>
                    <a:stretch>
                      <a:fillRect/>
                    </a:stretch>
                  </pic:blipFill>
                  <pic:spPr>
                    <a:xfrm>
                      <a:off x="0" y="0"/>
                      <a:ext cx="4370705" cy="3315335"/>
                    </a:xfrm>
                    <a:prstGeom prst="rect">
                      <a:avLst/>
                    </a:prstGeom>
                    <a:noFill/>
                    <a:ln>
                      <a:noFill/>
                    </a:ln>
                  </pic:spPr>
                </pic:pic>
              </a:graphicData>
            </a:graphic>
          </wp:inline>
        </w:drawing>
      </w:r>
      <w:r>
        <w:fldChar w:fldCharType="begin"/>
      </w:r>
      <w:r>
        <w:instrText xml:space="preserve"> INCLUDEPICTURE "https://gimg2.baidu.com/image_search/src=http%3A%2F%2Fupload.ybxww.com%2F2018%2F1225%2F1545732809553.jpg&amp;refer=http%3A%2F%2Fupload.ybxww.com&amp;app=2002&amp;size=f9999,10000&amp;q=a80&amp;n=0&amp;g=0n&amp;fmt=jpeg?sec=1636443380&amp;t=369dbbae893673fd72d4ae66bbd45639" \* MERGEFORMATINET </w:instrText>
      </w:r>
      <w:r>
        <w:fldChar w:fldCharType="separate"/>
      </w:r>
      <w:r>
        <w:drawing>
          <wp:inline distT="0" distB="0" distL="114300" distR="114300">
            <wp:extent cx="3435985" cy="2414270"/>
            <wp:effectExtent l="0" t="0" r="2540" b="5080"/>
            <wp:docPr id="3" name="图片 2" descr="src=http%3A%2F%2F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src=http%3A%2F%2Fupload"/>
                    <pic:cNvPicPr>
                      <a:picLocks noChangeAspect="1"/>
                    </pic:cNvPicPr>
                  </pic:nvPicPr>
                  <pic:blipFill>
                    <a:blip r:embed="rId38"/>
                    <a:srcRect t="38441" r="24411" b="21750"/>
                    <a:stretch>
                      <a:fillRect/>
                    </a:stretch>
                  </pic:blipFill>
                  <pic:spPr>
                    <a:xfrm>
                      <a:off x="0" y="0"/>
                      <a:ext cx="3435985" cy="2414270"/>
                    </a:xfrm>
                    <a:prstGeom prst="rect">
                      <a:avLst/>
                    </a:prstGeom>
                    <a:noFill/>
                    <a:ln>
                      <a:noFill/>
                    </a:ln>
                  </pic:spPr>
                </pic:pic>
              </a:graphicData>
            </a:graphic>
          </wp:inline>
        </w:drawing>
      </w:r>
      <w:r>
        <w:fldChar w:fldCharType="end"/>
      </w:r>
    </w:p>
    <w:p>
      <w:pPr>
        <w:pStyle w:val="140"/>
        <w:rPr>
          <w:rFonts w:hint="default"/>
          <w:lang w:val="zh-CN"/>
        </w:rPr>
      </w:pPr>
      <w:r>
        <w:rPr>
          <w:lang w:val="zh-CN"/>
        </w:rPr>
        <w:t>充电桩收入依据</w:t>
      </w:r>
    </w:p>
    <w:p>
      <w:pPr>
        <w:ind w:firstLine="480"/>
        <w:rPr>
          <w:rFonts w:cs="仿宋"/>
        </w:rPr>
      </w:pPr>
      <w:r>
        <w:rPr>
          <w:rFonts w:hint="eastAsia" w:cs="仿宋"/>
        </w:rPr>
        <w:t>⑥停车费收入</w:t>
      </w:r>
    </w:p>
    <w:p>
      <w:pPr>
        <w:ind w:firstLine="480"/>
        <w:rPr>
          <w:rFonts w:cs="仿宋"/>
          <w:lang w:val="zh-CN"/>
        </w:rPr>
      </w:pPr>
      <w:r>
        <w:rPr>
          <w:rFonts w:hint="eastAsia" w:cs="仿宋"/>
        </w:rPr>
        <w:t>根据可行性研究报告，</w:t>
      </w:r>
      <w:r>
        <w:rPr>
          <w:rFonts w:hint="eastAsia" w:cs="仿宋"/>
          <w:lang w:val="zh-CN"/>
        </w:rPr>
        <w:t>本项目拟规划车辆停车位410个，本项目根据谨慎性原则停车收费单价按3.00元/车次（每三年上涨1元），停车周转率为2.5、每三年上浮0.1，出租率近期60%、远期稳定在85%。</w:t>
      </w:r>
    </w:p>
    <w:p>
      <w:pPr>
        <w:ind w:firstLine="480"/>
        <w:rPr>
          <w:lang w:val="zh-CN"/>
        </w:rPr>
      </w:pPr>
      <w:r>
        <w:drawing>
          <wp:inline distT="0" distB="0" distL="114300" distR="114300">
            <wp:extent cx="5264150" cy="6757035"/>
            <wp:effectExtent l="0" t="0" r="6350" b="1206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9"/>
                    <a:stretch>
                      <a:fillRect/>
                    </a:stretch>
                  </pic:blipFill>
                  <pic:spPr>
                    <a:xfrm>
                      <a:off x="0" y="0"/>
                      <a:ext cx="5264150" cy="6757035"/>
                    </a:xfrm>
                    <a:prstGeom prst="rect">
                      <a:avLst/>
                    </a:prstGeom>
                    <a:noFill/>
                    <a:ln w="9525">
                      <a:noFill/>
                    </a:ln>
                  </pic:spPr>
                </pic:pic>
              </a:graphicData>
            </a:graphic>
          </wp:inline>
        </w:drawing>
      </w:r>
    </w:p>
    <w:p>
      <w:pPr>
        <w:pStyle w:val="140"/>
        <w:rPr>
          <w:rFonts w:hint="default"/>
          <w:lang w:val="zh-CN"/>
        </w:rPr>
      </w:pPr>
      <w:r>
        <w:t>停车费</w:t>
      </w:r>
      <w:r>
        <w:rPr>
          <w:lang w:val="zh-CN"/>
        </w:rPr>
        <w:t>收入依据</w:t>
      </w:r>
    </w:p>
    <w:p>
      <w:pPr>
        <w:ind w:firstLine="480"/>
        <w:rPr>
          <w:rFonts w:cs="仿宋"/>
        </w:rPr>
      </w:pPr>
      <w:r>
        <w:rPr>
          <w:rFonts w:hint="eastAsia" w:cs="仿宋"/>
        </w:rPr>
        <w:t>⑦广告牌收入</w:t>
      </w:r>
    </w:p>
    <w:p>
      <w:pPr>
        <w:numPr>
          <w:ilvl w:val="0"/>
          <w:numId w:val="7"/>
        </w:numPr>
        <w:ind w:firstLine="480"/>
        <w:rPr>
          <w:rFonts w:cs="仿宋"/>
        </w:rPr>
      </w:pPr>
      <w:r>
        <w:rPr>
          <w:rFonts w:hint="eastAsia" w:cs="仿宋"/>
        </w:rPr>
        <w:t>电梯广告牌收入</w:t>
      </w:r>
    </w:p>
    <w:p>
      <w:pPr>
        <w:ind w:firstLine="480"/>
        <w:rPr>
          <w:rFonts w:cs="仿宋"/>
          <w:lang w:val="zh-CN"/>
        </w:rPr>
      </w:pPr>
      <w:r>
        <w:rPr>
          <w:rFonts w:hint="eastAsia" w:cs="仿宋"/>
        </w:rPr>
        <w:t>根据可行性研究报告，</w:t>
      </w:r>
      <w:r>
        <w:rPr>
          <w:rFonts w:hint="eastAsia" w:cs="仿宋"/>
          <w:lang w:val="zh-CN"/>
        </w:rPr>
        <w:t>本项目电梯广告牌拟布置90个（30部电梯、每部布置3个广告牌），根据广告公司询价及保守考虑，电梯广告牌租赁价格按照0.60万元/年/个、每三年按5%上涨，出租率近期为60%、远期达到在90%。</w:t>
      </w:r>
    </w:p>
    <w:p>
      <w:pPr>
        <w:ind w:firstLine="0" w:firstLineChars="0"/>
        <w:jc w:val="center"/>
        <w:rPr>
          <w:lang w:val="zh-CN"/>
        </w:rPr>
      </w:pPr>
      <w:r>
        <w:drawing>
          <wp:inline distT="0" distB="0" distL="114300" distR="114300">
            <wp:extent cx="4864100" cy="1803400"/>
            <wp:effectExtent l="0" t="0" r="0" b="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40"/>
                    <a:stretch>
                      <a:fillRect/>
                    </a:stretch>
                  </pic:blipFill>
                  <pic:spPr>
                    <a:xfrm>
                      <a:off x="0" y="0"/>
                      <a:ext cx="4864100" cy="1803400"/>
                    </a:xfrm>
                    <a:prstGeom prst="rect">
                      <a:avLst/>
                    </a:prstGeom>
                    <a:noFill/>
                    <a:ln>
                      <a:noFill/>
                    </a:ln>
                  </pic:spPr>
                </pic:pic>
              </a:graphicData>
            </a:graphic>
          </wp:inline>
        </w:drawing>
      </w:r>
      <w:r>
        <w:drawing>
          <wp:inline distT="0" distB="0" distL="114300" distR="114300">
            <wp:extent cx="4679950" cy="1771650"/>
            <wp:effectExtent l="0" t="0" r="6350" b="635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41"/>
                    <a:stretch>
                      <a:fillRect/>
                    </a:stretch>
                  </pic:blipFill>
                  <pic:spPr>
                    <a:xfrm>
                      <a:off x="0" y="0"/>
                      <a:ext cx="4679950" cy="1771650"/>
                    </a:xfrm>
                    <a:prstGeom prst="rect">
                      <a:avLst/>
                    </a:prstGeom>
                    <a:noFill/>
                    <a:ln>
                      <a:noFill/>
                    </a:ln>
                  </pic:spPr>
                </pic:pic>
              </a:graphicData>
            </a:graphic>
          </wp:inline>
        </w:drawing>
      </w:r>
    </w:p>
    <w:p>
      <w:pPr>
        <w:pStyle w:val="140"/>
        <w:rPr>
          <w:rFonts w:hint="default"/>
          <w:lang w:val="zh-CN"/>
        </w:rPr>
      </w:pPr>
      <w:r>
        <w:t>电梯广告牌</w:t>
      </w:r>
      <w:r>
        <w:rPr>
          <w:lang w:val="zh-CN"/>
        </w:rPr>
        <w:t>收入依据</w:t>
      </w:r>
    </w:p>
    <w:p>
      <w:pPr>
        <w:ind w:firstLine="480"/>
        <w:rPr>
          <w:rFonts w:cs="仿宋"/>
        </w:rPr>
      </w:pPr>
      <w:r>
        <w:rPr>
          <w:rFonts w:hint="eastAsia" w:cs="仿宋"/>
        </w:rPr>
        <w:t>⑧补贴收入</w:t>
      </w:r>
    </w:p>
    <w:p>
      <w:pPr>
        <w:ind w:firstLine="480"/>
        <w:rPr>
          <w:rFonts w:cs="仿宋"/>
          <w:lang w:val="zh-CN"/>
        </w:rPr>
      </w:pPr>
      <w:r>
        <w:rPr>
          <w:rFonts w:hint="eastAsia" w:cs="仿宋"/>
        </w:rPr>
        <w:t>根据“新都区财政局关于现代交通产业功能区微网优联基础设施及配套项目补贴收入的说明”，新都区财政局将给予每年1200万元的营运补助支持</w:t>
      </w:r>
      <w:r>
        <w:rPr>
          <w:rFonts w:hint="eastAsia" w:cs="仿宋"/>
          <w:lang w:val="zh-CN"/>
        </w:rPr>
        <w:t>。</w:t>
      </w:r>
    </w:p>
    <w:p>
      <w:pPr>
        <w:ind w:firstLine="480"/>
        <w:rPr>
          <w:rFonts w:cs="仿宋"/>
        </w:rPr>
      </w:pPr>
      <w:r>
        <w:rPr>
          <w:rFonts w:hint="eastAsia" w:cs="仿宋"/>
        </w:rPr>
        <w:t>⑨</w:t>
      </w:r>
      <w:r>
        <w:rPr>
          <w:rFonts w:hint="eastAsia" w:cs="仿宋"/>
          <w:lang w:val="zh-CN"/>
        </w:rPr>
        <w:t>本项目增值税按销项税额抵减进项税额计算，城市维护建设税按当年增值税的7%计算，教育费附加按当年增值税的3%计算，地方教育费附加按当年增值税的2%计算，房产税按从租价的12%计算，企业所得税税率25%。</w:t>
      </w:r>
    </w:p>
    <w:p>
      <w:pPr>
        <w:ind w:firstLine="480"/>
        <w:rPr>
          <w:rFonts w:cs="仿宋"/>
        </w:rPr>
        <w:sectPr>
          <w:headerReference r:id="rId11" w:type="default"/>
          <w:pgSz w:w="11906" w:h="16838"/>
          <w:pgMar w:top="1803" w:right="1440" w:bottom="1803" w:left="1440" w:header="851" w:footer="992" w:gutter="0"/>
          <w:cols w:space="425" w:num="1"/>
          <w:docGrid w:linePitch="312" w:charSpace="0"/>
        </w:sectPr>
      </w:pPr>
      <w:r>
        <w:rPr>
          <w:rFonts w:hint="eastAsia" w:cs="仿宋"/>
        </w:rPr>
        <w:t>具体项目收入预测表如下：</w:t>
      </w:r>
      <w:bookmarkEnd w:id="186"/>
    </w:p>
    <w:p>
      <w:pPr>
        <w:pStyle w:val="140"/>
        <w:rPr>
          <w:rFonts w:hint="default"/>
        </w:rPr>
      </w:pPr>
      <w:bookmarkStart w:id="199" w:name="_Hlk55993110"/>
      <w:r>
        <w:t>项目收入预测表（金额单位：</w:t>
      </w:r>
      <w:r>
        <w:rPr>
          <w:lang w:val="zh-CN" w:bidi="zh-CN"/>
        </w:rPr>
        <w:t>人民币</w:t>
      </w:r>
      <w:r>
        <w:t>万元）</w:t>
      </w:r>
      <w:bookmarkEnd w:id="199"/>
    </w:p>
    <w:tbl>
      <w:tblPr>
        <w:tblStyle w:val="32"/>
        <w:tblW w:w="15417" w:type="dxa"/>
        <w:jc w:val="center"/>
        <w:tblLayout w:type="autofit"/>
        <w:tblCellMar>
          <w:top w:w="0" w:type="dxa"/>
          <w:left w:w="0" w:type="dxa"/>
          <w:bottom w:w="0" w:type="dxa"/>
          <w:right w:w="0" w:type="dxa"/>
        </w:tblCellMar>
      </w:tblPr>
      <w:tblGrid>
        <w:gridCol w:w="550"/>
        <w:gridCol w:w="1897"/>
        <w:gridCol w:w="810"/>
        <w:gridCol w:w="640"/>
        <w:gridCol w:w="640"/>
        <w:gridCol w:w="640"/>
        <w:gridCol w:w="640"/>
        <w:gridCol w:w="640"/>
        <w:gridCol w:w="640"/>
        <w:gridCol w:w="640"/>
        <w:gridCol w:w="640"/>
        <w:gridCol w:w="640"/>
        <w:gridCol w:w="640"/>
        <w:gridCol w:w="640"/>
        <w:gridCol w:w="640"/>
        <w:gridCol w:w="640"/>
        <w:gridCol w:w="640"/>
        <w:gridCol w:w="640"/>
        <w:gridCol w:w="640"/>
        <w:gridCol w:w="640"/>
        <w:gridCol w:w="640"/>
        <w:gridCol w:w="640"/>
      </w:tblGrid>
      <w:tr>
        <w:tblPrEx>
          <w:tblCellMar>
            <w:top w:w="0" w:type="dxa"/>
            <w:left w:w="0" w:type="dxa"/>
            <w:bottom w:w="0" w:type="dxa"/>
            <w:right w:w="0" w:type="dxa"/>
          </w:tblCellMar>
        </w:tblPrEx>
        <w:trPr>
          <w:trHeight w:val="340" w:hRule="atLeast"/>
          <w:jc w:val="center"/>
        </w:trPr>
        <w:tc>
          <w:tcPr>
            <w:tcW w:w="557"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序号</w:t>
            </w:r>
          </w:p>
        </w:tc>
        <w:tc>
          <w:tcPr>
            <w:tcW w:w="1984"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年份   项目</w:t>
            </w:r>
          </w:p>
        </w:tc>
        <w:tc>
          <w:tcPr>
            <w:tcW w:w="81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合计</w:t>
            </w:r>
          </w:p>
        </w:tc>
        <w:tc>
          <w:tcPr>
            <w:tcW w:w="12066" w:type="dxa"/>
            <w:gridSpan w:val="19"/>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运营期（年）</w:t>
            </w:r>
          </w:p>
        </w:tc>
      </w:tr>
      <w:tr>
        <w:tblPrEx>
          <w:tblCellMar>
            <w:top w:w="0" w:type="dxa"/>
            <w:left w:w="0" w:type="dxa"/>
            <w:bottom w:w="0" w:type="dxa"/>
            <w:right w:w="0" w:type="dxa"/>
          </w:tblCellMar>
        </w:tblPrEx>
        <w:trPr>
          <w:trHeight w:val="325" w:hRule="atLeast"/>
          <w:jc w:val="center"/>
        </w:trPr>
        <w:tc>
          <w:tcPr>
            <w:tcW w:w="557"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1984"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1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w:t>
            </w:r>
          </w:p>
        </w:tc>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w:t>
            </w:r>
          </w:p>
        </w:tc>
      </w:tr>
      <w:tr>
        <w:tblPrEx>
          <w:tblCellMar>
            <w:top w:w="0" w:type="dxa"/>
            <w:left w:w="0" w:type="dxa"/>
            <w:bottom w:w="0" w:type="dxa"/>
            <w:right w:w="0" w:type="dxa"/>
          </w:tblCellMar>
        </w:tblPrEx>
        <w:trPr>
          <w:trHeight w:val="325" w:hRule="atLeast"/>
          <w:jc w:val="center"/>
        </w:trPr>
        <w:tc>
          <w:tcPr>
            <w:tcW w:w="557"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1984"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1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340" w:hRule="atLeast"/>
          <w:jc w:val="center"/>
        </w:trPr>
        <w:tc>
          <w:tcPr>
            <w:tcW w:w="5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一</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运营收入+补贴收入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228074.42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7676.34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8611.60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9546.87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10740.01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10754.01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10783.25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12375.44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12408.29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12408.29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15332.94</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（一）</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205274.42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6476.34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7411.60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8346.87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9540.01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9554.01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9583.25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11175.44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14132.94</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微网大楼出租收入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37258.75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1187.40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1357.03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1526.66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1740.39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1740.39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1740.39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1879.62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1879.62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1879.62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2029.99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2029.99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2029.99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2192.39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2192.39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2192.39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2367.78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2367.78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2367.78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2557.20</w:t>
            </w:r>
          </w:p>
        </w:tc>
      </w:tr>
      <w:tr>
        <w:tblPrEx>
          <w:tblCellMar>
            <w:top w:w="0" w:type="dxa"/>
            <w:left w:w="0" w:type="dxa"/>
            <w:bottom w:w="0" w:type="dxa"/>
            <w:right w:w="0" w:type="dxa"/>
          </w:tblCellMar>
        </w:tblPrEx>
        <w:trPr>
          <w:trHeight w:val="66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单价（元/㎡，月）（每3年按8%上涨）</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66.65</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面积（㎡）</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33656.42</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核心厂房及多功能厂房出租收入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131934.91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4204.63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4805.29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5405.96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6162.79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6162.79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6162.79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6655.81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6655.81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6655.81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7188.28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7188.28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7188.28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7763.34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7763.34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7763.34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8384.41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8384.41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8384.41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9055.16</w:t>
            </w:r>
          </w:p>
        </w:tc>
      </w:tr>
      <w:tr>
        <w:tblPrEx>
          <w:tblCellMar>
            <w:top w:w="0" w:type="dxa"/>
            <w:left w:w="0" w:type="dxa"/>
            <w:bottom w:w="0" w:type="dxa"/>
            <w:right w:w="0" w:type="dxa"/>
          </w:tblCellMar>
        </w:tblPrEx>
        <w:trPr>
          <w:trHeight w:val="66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单价（元/㎡，月）（每3年按8%上涨）</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54.42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63.47</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面积（㎡）</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125137.85</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生活配套用房出租收入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21959.68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699.83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799.81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899.79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1025.75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1025.75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1025.75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1107.82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1107.82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1107.82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1196.44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1196.44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1196.44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1292.16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1292.16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1292.16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1395.53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1395.53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1395.53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1507.17</w:t>
            </w:r>
          </w:p>
        </w:tc>
      </w:tr>
      <w:tr>
        <w:tblPrEx>
          <w:tblCellMar>
            <w:top w:w="0" w:type="dxa"/>
            <w:left w:w="0" w:type="dxa"/>
            <w:bottom w:w="0" w:type="dxa"/>
            <w:right w:w="0" w:type="dxa"/>
          </w:tblCellMar>
        </w:tblPrEx>
        <w:trPr>
          <w:trHeight w:val="66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单价（元/㎡，月）（每3年按8%上涨）</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42.00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48.99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52.91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57.14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66.65</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面积（㎡）</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19836.53</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物管费收入</w:t>
            </w:r>
          </w:p>
        </w:tc>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4056.35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150.05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171.49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192.92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203.64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203.64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235.74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235.74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235.74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235.74</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单价（元/月.㎡）每5年上浮5%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1.16</w:t>
            </w:r>
          </w:p>
        </w:tc>
      </w:tr>
      <w:tr>
        <w:tblPrEx>
          <w:tblCellMar>
            <w:top w:w="0" w:type="dxa"/>
            <w:left w:w="0" w:type="dxa"/>
            <w:bottom w:w="0" w:type="dxa"/>
            <w:right w:w="0" w:type="dxa"/>
          </w:tblCellMar>
        </w:tblPrEx>
        <w:trPr>
          <w:trHeight w:val="3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出租面积</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125041.56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142904.64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160767.72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169699.26</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充电桩收入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5206.03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134.69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161.62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188.56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238.12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257.17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267.06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267.06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267.06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276.96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299.11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299.11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309.79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309.79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309.79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346.12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346.12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346.12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357.65</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充电桩数量（个）</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w:t>
            </w:r>
          </w:p>
        </w:tc>
      </w:tr>
      <w:tr>
        <w:tblPrEx>
          <w:tblCellMar>
            <w:top w:w="0" w:type="dxa"/>
            <w:left w:w="0" w:type="dxa"/>
            <w:bottom w:w="0" w:type="dxa"/>
            <w:right w:w="0" w:type="dxa"/>
          </w:tblCellMar>
        </w:tblPrEx>
        <w:trPr>
          <w:trHeight w:val="51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单价服务费（元/度）每5年上涨8%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0.76</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每车平均充电电量.kwh</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周转率（每3年增长0.1）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使用率%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停车费收入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3834.26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78.57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89.79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171.72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171.72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171.72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258.22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258.22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258.22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305.29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305.29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305.29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354.89</w:t>
            </w:r>
          </w:p>
        </w:tc>
      </w:tr>
      <w:tr>
        <w:tblPrEx>
          <w:tblCellMar>
            <w:top w:w="0" w:type="dxa"/>
            <w:left w:w="0" w:type="dxa"/>
            <w:bottom w:w="0" w:type="dxa"/>
            <w:right w:w="0" w:type="dxa"/>
          </w:tblCellMar>
        </w:tblPrEx>
        <w:trPr>
          <w:trHeight w:val="66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平均单价（元/次.）按每3年上涨1元测算）</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数量（个）</w:t>
            </w:r>
          </w:p>
        </w:tc>
        <w:tc>
          <w:tcPr>
            <w:tcW w:w="810"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w:t>
            </w:r>
          </w:p>
        </w:tc>
      </w:tr>
      <w:tr>
        <w:tblPrEx>
          <w:tblCellMar>
            <w:top w:w="0" w:type="dxa"/>
            <w:left w:w="0" w:type="dxa"/>
            <w:bottom w:w="0" w:type="dxa"/>
            <w:right w:w="0" w:type="dxa"/>
          </w:tblCellMar>
        </w:tblPrEx>
        <w:trPr>
          <w:trHeight w:val="353"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周转率（每3年增长0.1）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广告牌收入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1024.45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32.40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65.13</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电梯广告牌收入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1024.45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32.40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59.07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62.03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65.13</w:t>
            </w:r>
          </w:p>
        </w:tc>
      </w:tr>
      <w:tr>
        <w:tblPrEx>
          <w:tblCellMar>
            <w:top w:w="0" w:type="dxa"/>
            <w:left w:w="0" w:type="dxa"/>
            <w:bottom w:w="0" w:type="dxa"/>
            <w:right w:w="0" w:type="dxa"/>
          </w:tblCellMar>
        </w:tblPrEx>
        <w:trPr>
          <w:trHeight w:val="66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单价（万元.年.个）（每3年上涨5%）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0.69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0.80</w:t>
            </w:r>
          </w:p>
        </w:tc>
      </w:tr>
      <w:tr>
        <w:tblPrEx>
          <w:tblCellMar>
            <w:top w:w="0" w:type="dxa"/>
            <w:left w:w="0" w:type="dxa"/>
            <w:bottom w:w="0" w:type="dxa"/>
            <w:right w:w="0" w:type="dxa"/>
          </w:tblCellMar>
        </w:tblPrEx>
        <w:trPr>
          <w:trHeight w:val="41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数量（个）每部电梯3个广告牌</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r>
      <w:tr>
        <w:tblPrEx>
          <w:tblCellMar>
            <w:top w:w="0" w:type="dxa"/>
            <w:left w:w="0" w:type="dxa"/>
            <w:bottom w:w="0" w:type="dxa"/>
            <w:right w:w="0" w:type="dxa"/>
          </w:tblCellMar>
        </w:tblPrEx>
        <w:trPr>
          <w:trHeight w:val="36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出租率（%）</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（二）</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补贴收入</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二</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税金及附加</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30307.45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731.02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835.46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939.89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1420.94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2712.96</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应交增值税</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6579.51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152.83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864.65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864.65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864.65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938.71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938.71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938.71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1016.62</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城市维护建设税（增值税×7%)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460.57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60.53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71.16</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教育费附加（增值税×3%）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197.39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25.94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25.94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25.94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30.50</w:t>
            </w:r>
          </w:p>
        </w:tc>
      </w:tr>
      <w:tr>
        <w:tblPrEx>
          <w:tblCellMar>
            <w:top w:w="0" w:type="dxa"/>
            <w:left w:w="0" w:type="dxa"/>
            <w:bottom w:w="0" w:type="dxa"/>
            <w:right w:w="0" w:type="dxa"/>
          </w:tblCellMar>
        </w:tblPrEx>
        <w:trPr>
          <w:trHeight w:val="3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地方教育费附加(增值税×2%）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131.59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17.29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18.77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20.33</w:t>
            </w:r>
          </w:p>
        </w:tc>
      </w:tr>
      <w:tr>
        <w:tblPrEx>
          <w:tblCellMar>
            <w:top w:w="0" w:type="dxa"/>
            <w:left w:w="0" w:type="dxa"/>
            <w:bottom w:w="0" w:type="dxa"/>
            <w:right w:w="0" w:type="dxa"/>
          </w:tblCellMar>
        </w:tblPrEx>
        <w:trPr>
          <w:trHeight w:val="6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198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房产租赁税（从出租计征按12%计算）</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22938.40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731.02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835.46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939.89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1349.75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1349.75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1349.75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1457.73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1457.73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1457.73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1574.34</w:t>
            </w:r>
          </w:p>
        </w:tc>
      </w:tr>
    </w:tbl>
    <w:p>
      <w:pPr>
        <w:ind w:firstLine="480"/>
        <w:sectPr>
          <w:pgSz w:w="16838" w:h="11906" w:orient="landscape"/>
          <w:pgMar w:top="850" w:right="850" w:bottom="850" w:left="850" w:header="851" w:footer="992" w:gutter="0"/>
          <w:cols w:space="720" w:num="1"/>
          <w:docGrid w:type="lines" w:linePitch="312" w:charSpace="0"/>
        </w:sectPr>
      </w:pPr>
    </w:p>
    <w:p>
      <w:pPr>
        <w:pStyle w:val="7"/>
        <w:rPr>
          <w:rFonts w:cs="仿宋"/>
        </w:rPr>
      </w:pPr>
      <w:bookmarkStart w:id="200" w:name="_Toc2657"/>
      <w:bookmarkStart w:id="201" w:name="_Toc18762"/>
      <w:bookmarkStart w:id="202" w:name="_Toc2115"/>
      <w:bookmarkStart w:id="203" w:name="_Toc17898"/>
      <w:bookmarkStart w:id="204" w:name="_Toc24718"/>
      <w:bookmarkStart w:id="205" w:name="_Hlk55993128"/>
      <w:r>
        <w:rPr>
          <w:rFonts w:hint="eastAsia" w:cs="仿宋"/>
        </w:rPr>
        <w:t>2.项目成本</w:t>
      </w:r>
      <w:bookmarkEnd w:id="200"/>
      <w:bookmarkEnd w:id="201"/>
      <w:bookmarkEnd w:id="202"/>
      <w:bookmarkEnd w:id="203"/>
      <w:bookmarkEnd w:id="204"/>
    </w:p>
    <w:p>
      <w:pPr>
        <w:ind w:firstLine="480"/>
      </w:pPr>
      <w:r>
        <w:rPr>
          <w:rFonts w:hint="eastAsia"/>
        </w:rPr>
        <w:t>根据项目</w:t>
      </w:r>
      <w:r>
        <w:rPr>
          <w:rFonts w:hint="eastAsia"/>
          <w:lang w:val="en-US" w:eastAsia="zh-CN"/>
        </w:rPr>
        <w:t>业主</w:t>
      </w:r>
      <w:r>
        <w:rPr>
          <w:rFonts w:hint="eastAsia"/>
        </w:rPr>
        <w:t>单位提供的相关资料以及可行性研究报告，预测项目运营期内经营成本与费用为：</w:t>
      </w:r>
    </w:p>
    <w:p>
      <w:pPr>
        <w:ind w:firstLine="480"/>
      </w:pPr>
      <w:r>
        <w:rPr>
          <w:rFonts w:hint="eastAsia"/>
        </w:rPr>
        <w:t>（1）工资及福利费</w:t>
      </w:r>
    </w:p>
    <w:p>
      <w:pPr>
        <w:ind w:firstLine="480"/>
      </w:pPr>
      <w:r>
        <w:rPr>
          <w:rFonts w:hint="eastAsia"/>
        </w:rPr>
        <w:t>结合项目运营期间的需要，职工认定人数为管理人员5人、普通职工40人，职工工资结合当地的工资及薪金水平统筹考虑，管理人员按照人均年工资及福利8.00万元、普通职工按照人均年工资及福利5.00万元，每年上浮3%计算。</w:t>
      </w:r>
    </w:p>
    <w:p>
      <w:pPr>
        <w:ind w:firstLine="480"/>
      </w:pPr>
      <w:r>
        <w:rPr>
          <w:rFonts w:hint="eastAsia"/>
        </w:rPr>
        <w:t>（2）动力费</w:t>
      </w:r>
    </w:p>
    <w:p>
      <w:pPr>
        <w:ind w:firstLine="480"/>
      </w:pPr>
      <w:r>
        <w:rPr>
          <w:rFonts w:hint="eastAsia"/>
        </w:rPr>
        <w:t>动力费包括项目经营中发生的相关水、电、气、燃料消耗，本项目动力费按照运营收入的4%计算。</w:t>
      </w:r>
    </w:p>
    <w:p>
      <w:pPr>
        <w:ind w:firstLine="480"/>
      </w:pPr>
      <w:r>
        <w:rPr>
          <w:rFonts w:hint="eastAsia"/>
        </w:rPr>
        <w:t>（3）修缮费</w:t>
      </w:r>
    </w:p>
    <w:p>
      <w:pPr>
        <w:ind w:firstLine="480"/>
      </w:pPr>
      <w:r>
        <w:rPr>
          <w:rFonts w:hint="eastAsia"/>
        </w:rPr>
        <w:t>修缮费即对项目相关设施的日常维护费，按折旧摊销额的6%计算。</w:t>
      </w:r>
    </w:p>
    <w:p>
      <w:pPr>
        <w:ind w:firstLine="480"/>
      </w:pPr>
      <w:r>
        <w:rPr>
          <w:rFonts w:hint="eastAsia"/>
        </w:rPr>
        <w:t>（4）其他费用</w:t>
      </w:r>
    </w:p>
    <w:p>
      <w:pPr>
        <w:ind w:firstLine="480"/>
      </w:pPr>
      <w:r>
        <w:rPr>
          <w:rFonts w:hint="eastAsia"/>
        </w:rPr>
        <w:t>包括管理费用和营销费用，管理费用按运营收入的2%计算；营销费用按照运营收入的1%计算。</w:t>
      </w:r>
    </w:p>
    <w:p>
      <w:pPr>
        <w:ind w:firstLine="480"/>
      </w:pPr>
      <w:r>
        <w:rPr>
          <w:rFonts w:hint="eastAsia"/>
        </w:rPr>
        <w:t>（5）折旧摊销费</w:t>
      </w:r>
    </w:p>
    <w:p>
      <w:pPr>
        <w:ind w:firstLine="480"/>
      </w:pPr>
      <w:r>
        <w:rPr>
          <w:rFonts w:hint="eastAsia"/>
        </w:rPr>
        <w:t>固定资产折旧按照20年计提，残值率为5%；无形资产按照40年进行摊销。</w:t>
      </w:r>
    </w:p>
    <w:p>
      <w:pPr>
        <w:ind w:firstLine="480"/>
      </w:pPr>
      <w:r>
        <w:rPr>
          <w:rFonts w:hint="eastAsia"/>
        </w:rPr>
        <w:t>（6）相关税费</w:t>
      </w:r>
    </w:p>
    <w:p>
      <w:pPr>
        <w:ind w:firstLine="480"/>
      </w:pPr>
      <w:r>
        <w:rPr>
          <w:rFonts w:hint="eastAsia"/>
        </w:rPr>
        <w:t>本项目缴纳的相关税费包括城市维护建设税、教育费及地方教育附加，分别按增值税的7%、5%计取，房产税按从租价值12%计取。</w:t>
      </w:r>
    </w:p>
    <w:p>
      <w:pPr>
        <w:ind w:firstLine="480"/>
      </w:pPr>
      <w:r>
        <w:rPr>
          <w:rFonts w:hint="eastAsia"/>
        </w:rPr>
        <w:t>（7）利息</w:t>
      </w:r>
    </w:p>
    <w:p>
      <w:pPr>
        <w:ind w:firstLine="480"/>
      </w:pPr>
      <w:r>
        <w:rPr>
          <w:rFonts w:hint="eastAsia"/>
        </w:rPr>
        <w:t>本项目拟申请发行专项债券80000.00万元，其中：第一年发行40000.00万元、第二年发行40000.00万元，利率为3.80%，发行期限为20年。运营期利息为56240.00万元。</w:t>
      </w:r>
    </w:p>
    <w:p>
      <w:pPr>
        <w:ind w:firstLine="480"/>
      </w:pPr>
      <w:r>
        <w:rPr>
          <w:rFonts w:hint="eastAsia"/>
        </w:rPr>
        <w:t>具体项目总成本费用预测表如下：</w:t>
      </w:r>
      <w:bookmarkEnd w:id="205"/>
    </w:p>
    <w:p>
      <w:pPr>
        <w:ind w:firstLine="480"/>
      </w:pPr>
    </w:p>
    <w:p>
      <w:pPr>
        <w:pStyle w:val="2"/>
        <w:ind w:firstLine="210"/>
        <w:rPr>
          <w:rFonts w:ascii="仿宋" w:hAnsi="仿宋" w:eastAsia="仿宋" w:cs="仿宋"/>
          <w:lang w:val="zh-CN"/>
        </w:rPr>
        <w:sectPr>
          <w:pgSz w:w="11906" w:h="16838"/>
          <w:pgMar w:top="1440" w:right="1633" w:bottom="1440" w:left="1576" w:header="851" w:footer="992" w:gutter="0"/>
          <w:cols w:space="720" w:num="1"/>
          <w:docGrid w:type="lines" w:linePitch="312" w:charSpace="0"/>
        </w:sectPr>
      </w:pPr>
    </w:p>
    <w:p>
      <w:pPr>
        <w:pStyle w:val="140"/>
        <w:rPr>
          <w:rFonts w:hint="default"/>
        </w:rPr>
      </w:pPr>
      <w:bookmarkStart w:id="206" w:name="_Hlk55993214"/>
      <w:r>
        <w:rPr>
          <w:lang w:val="zh-CN" w:bidi="zh-CN"/>
        </w:rPr>
        <w:t>项目总成本费用预测表</w:t>
      </w:r>
      <w:r>
        <w:t>（金额单位：</w:t>
      </w:r>
      <w:r>
        <w:rPr>
          <w:lang w:val="zh-CN" w:bidi="zh-CN"/>
        </w:rPr>
        <w:t>人民币</w:t>
      </w:r>
      <w:r>
        <w:t>万元）</w:t>
      </w:r>
      <w:bookmarkEnd w:id="206"/>
    </w:p>
    <w:tbl>
      <w:tblPr>
        <w:tblStyle w:val="32"/>
        <w:tblW w:w="15638" w:type="dxa"/>
        <w:jc w:val="center"/>
        <w:tblLayout w:type="autofit"/>
        <w:tblCellMar>
          <w:top w:w="0" w:type="dxa"/>
          <w:left w:w="0" w:type="dxa"/>
          <w:bottom w:w="0" w:type="dxa"/>
          <w:right w:w="0" w:type="dxa"/>
        </w:tblCellMar>
      </w:tblPr>
      <w:tblGrid>
        <w:gridCol w:w="388"/>
        <w:gridCol w:w="1408"/>
        <w:gridCol w:w="797"/>
        <w:gridCol w:w="847"/>
        <w:gridCol w:w="618"/>
        <w:gridCol w:w="618"/>
        <w:gridCol w:w="618"/>
        <w:gridCol w:w="618"/>
        <w:gridCol w:w="618"/>
        <w:gridCol w:w="618"/>
        <w:gridCol w:w="618"/>
        <w:gridCol w:w="728"/>
        <w:gridCol w:w="717"/>
        <w:gridCol w:w="758"/>
        <w:gridCol w:w="688"/>
        <w:gridCol w:w="657"/>
        <w:gridCol w:w="648"/>
        <w:gridCol w:w="665"/>
        <w:gridCol w:w="788"/>
        <w:gridCol w:w="708"/>
        <w:gridCol w:w="748"/>
        <w:gridCol w:w="767"/>
      </w:tblGrid>
      <w:tr>
        <w:tblPrEx>
          <w:tblCellMar>
            <w:top w:w="0" w:type="dxa"/>
            <w:left w:w="0" w:type="dxa"/>
            <w:bottom w:w="0" w:type="dxa"/>
            <w:right w:w="0" w:type="dxa"/>
          </w:tblCellMar>
        </w:tblPrEx>
        <w:trPr>
          <w:trHeight w:val="381" w:hRule="atLeast"/>
          <w:jc w:val="center"/>
        </w:trPr>
        <w:tc>
          <w:tcPr>
            <w:tcW w:w="388"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序号</w:t>
            </w:r>
          </w:p>
        </w:tc>
        <w:tc>
          <w:tcPr>
            <w:tcW w:w="1408"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年份     项目</w:t>
            </w:r>
          </w:p>
        </w:tc>
        <w:tc>
          <w:tcPr>
            <w:tcW w:w="797" w:type="dxa"/>
            <w:vMerge w:val="restart"/>
            <w:tcBorders>
              <w:top w:val="single" w:color="000000" w:sz="4" w:space="0"/>
              <w:left w:val="single" w:color="000000" w:sz="4" w:space="0"/>
              <w:bottom w:val="single" w:color="000000" w:sz="4" w:space="0"/>
              <w:right w:val="nil"/>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合计</w:t>
            </w:r>
          </w:p>
        </w:tc>
        <w:tc>
          <w:tcPr>
            <w:tcW w:w="13045" w:type="dxa"/>
            <w:gridSpan w:val="19"/>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运营期（年）</w:t>
            </w:r>
          </w:p>
        </w:tc>
      </w:tr>
      <w:tr>
        <w:tblPrEx>
          <w:tblCellMar>
            <w:top w:w="0" w:type="dxa"/>
            <w:left w:w="0" w:type="dxa"/>
            <w:bottom w:w="0" w:type="dxa"/>
            <w:right w:w="0" w:type="dxa"/>
          </w:tblCellMar>
        </w:tblPrEx>
        <w:trPr>
          <w:trHeight w:val="381" w:hRule="atLeast"/>
          <w:jc w:val="center"/>
        </w:trPr>
        <w:tc>
          <w:tcPr>
            <w:tcW w:w="388"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408"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797" w:type="dxa"/>
            <w:vMerge w:val="continue"/>
            <w:tcBorders>
              <w:top w:val="single" w:color="000000" w:sz="4" w:space="0"/>
              <w:left w:val="single" w:color="000000" w:sz="4" w:space="0"/>
              <w:bottom w:val="single" w:color="000000" w:sz="4" w:space="0"/>
              <w:right w:val="nil"/>
            </w:tcBorders>
            <w:noWrap/>
            <w:vAlign w:val="center"/>
          </w:tcPr>
          <w:p>
            <w:pPr>
              <w:spacing w:line="240" w:lineRule="auto"/>
              <w:ind w:firstLine="0" w:firstLineChars="0"/>
              <w:jc w:val="center"/>
              <w:rPr>
                <w:rFonts w:cs="仿宋"/>
                <w:kern w:val="0"/>
                <w:sz w:val="14"/>
                <w:szCs w:val="14"/>
                <w:lang w:val="zh-CN" w:bidi="zh-CN"/>
              </w:rPr>
            </w:pP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w:t>
            </w:r>
          </w:p>
        </w:tc>
      </w:tr>
      <w:tr>
        <w:tblPrEx>
          <w:tblCellMar>
            <w:top w:w="0" w:type="dxa"/>
            <w:left w:w="0" w:type="dxa"/>
            <w:bottom w:w="0" w:type="dxa"/>
            <w:right w:w="0" w:type="dxa"/>
          </w:tblCellMar>
        </w:tblPrEx>
        <w:trPr>
          <w:trHeight w:val="381"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人员工资及福利费</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6028.05</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247.20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254.62</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262.25</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270.12</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278.23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286.57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295.17</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304.02</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313.15</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322.54</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332.22</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342.18</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352.45</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363.02</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373.91</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385.13</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396.68</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408.58</w:t>
            </w:r>
          </w:p>
        </w:tc>
      </w:tr>
      <w:tr>
        <w:tblPrEx>
          <w:tblCellMar>
            <w:top w:w="0" w:type="dxa"/>
            <w:left w:w="0" w:type="dxa"/>
            <w:bottom w:w="0" w:type="dxa"/>
            <w:right w:w="0" w:type="dxa"/>
          </w:tblCellMar>
        </w:tblPrEx>
        <w:trPr>
          <w:trHeight w:val="38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管理人员（人）</w:t>
            </w:r>
          </w:p>
        </w:tc>
        <w:tc>
          <w:tcPr>
            <w:tcW w:w="79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4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2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1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5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6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0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76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r>
      <w:tr>
        <w:tblPrEx>
          <w:tblCellMar>
            <w:top w:w="0" w:type="dxa"/>
            <w:left w:w="0" w:type="dxa"/>
            <w:bottom w:w="0" w:type="dxa"/>
            <w:right w:w="0" w:type="dxa"/>
          </w:tblCellMar>
        </w:tblPrEx>
        <w:trPr>
          <w:trHeight w:val="74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工资、补贴标准（万元/人.年）每年上浮3%</w:t>
            </w:r>
          </w:p>
        </w:tc>
        <w:tc>
          <w:tcPr>
            <w:tcW w:w="79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4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8.24</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8.49</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8.74</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9.27</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9.55</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9.84</w:t>
            </w:r>
          </w:p>
        </w:tc>
        <w:tc>
          <w:tcPr>
            <w:tcW w:w="72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10.13</w:t>
            </w:r>
          </w:p>
        </w:tc>
        <w:tc>
          <w:tcPr>
            <w:tcW w:w="71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10.44</w:t>
            </w:r>
          </w:p>
        </w:tc>
        <w:tc>
          <w:tcPr>
            <w:tcW w:w="75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10.75</w:t>
            </w:r>
          </w:p>
        </w:tc>
        <w:tc>
          <w:tcPr>
            <w:tcW w:w="6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11.07</w:t>
            </w:r>
          </w:p>
        </w:tc>
        <w:tc>
          <w:tcPr>
            <w:tcW w:w="6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11.41</w:t>
            </w:r>
          </w:p>
        </w:tc>
        <w:tc>
          <w:tcPr>
            <w:tcW w:w="6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11.75</w:t>
            </w:r>
          </w:p>
        </w:tc>
        <w:tc>
          <w:tcPr>
            <w:tcW w:w="66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12.10</w:t>
            </w:r>
          </w:p>
        </w:tc>
        <w:tc>
          <w:tcPr>
            <w:tcW w:w="7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12.46</w:t>
            </w:r>
          </w:p>
        </w:tc>
        <w:tc>
          <w:tcPr>
            <w:tcW w:w="70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12.84</w:t>
            </w:r>
          </w:p>
        </w:tc>
        <w:tc>
          <w:tcPr>
            <w:tcW w:w="7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13.22</w:t>
            </w:r>
          </w:p>
        </w:tc>
        <w:tc>
          <w:tcPr>
            <w:tcW w:w="76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13.62</w:t>
            </w:r>
          </w:p>
        </w:tc>
      </w:tr>
      <w:tr>
        <w:tblPrEx>
          <w:tblCellMar>
            <w:top w:w="0" w:type="dxa"/>
            <w:left w:w="0" w:type="dxa"/>
            <w:bottom w:w="0" w:type="dxa"/>
            <w:right w:w="0" w:type="dxa"/>
          </w:tblCellMar>
        </w:tblPrEx>
        <w:trPr>
          <w:trHeight w:val="38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普通职工（人）</w:t>
            </w:r>
          </w:p>
        </w:tc>
        <w:tc>
          <w:tcPr>
            <w:tcW w:w="79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4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2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1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5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66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0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c>
          <w:tcPr>
            <w:tcW w:w="76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40.00</w:t>
            </w:r>
          </w:p>
        </w:tc>
      </w:tr>
      <w:tr>
        <w:tblPrEx>
          <w:tblCellMar>
            <w:top w:w="0" w:type="dxa"/>
            <w:left w:w="0" w:type="dxa"/>
            <w:bottom w:w="0" w:type="dxa"/>
            <w:right w:w="0" w:type="dxa"/>
          </w:tblCellMar>
        </w:tblPrEx>
        <w:trPr>
          <w:trHeight w:val="74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工资、补贴标准（万元/人.年）每年上浮3%</w:t>
            </w:r>
          </w:p>
        </w:tc>
        <w:tc>
          <w:tcPr>
            <w:tcW w:w="797"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84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5.15</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5.46</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5.63</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5.80</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5.97</w:t>
            </w:r>
          </w:p>
        </w:tc>
        <w:tc>
          <w:tcPr>
            <w:tcW w:w="61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6.15</w:t>
            </w:r>
          </w:p>
        </w:tc>
        <w:tc>
          <w:tcPr>
            <w:tcW w:w="72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6.33</w:t>
            </w:r>
          </w:p>
        </w:tc>
        <w:tc>
          <w:tcPr>
            <w:tcW w:w="71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6.52</w:t>
            </w:r>
          </w:p>
        </w:tc>
        <w:tc>
          <w:tcPr>
            <w:tcW w:w="75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6.72</w:t>
            </w:r>
          </w:p>
        </w:tc>
        <w:tc>
          <w:tcPr>
            <w:tcW w:w="6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6.92</w:t>
            </w:r>
          </w:p>
        </w:tc>
        <w:tc>
          <w:tcPr>
            <w:tcW w:w="6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7.13</w:t>
            </w:r>
          </w:p>
        </w:tc>
        <w:tc>
          <w:tcPr>
            <w:tcW w:w="6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7.34</w:t>
            </w:r>
          </w:p>
        </w:tc>
        <w:tc>
          <w:tcPr>
            <w:tcW w:w="665"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7.56</w:t>
            </w:r>
          </w:p>
        </w:tc>
        <w:tc>
          <w:tcPr>
            <w:tcW w:w="78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7.79</w:t>
            </w:r>
          </w:p>
        </w:tc>
        <w:tc>
          <w:tcPr>
            <w:tcW w:w="70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8.02</w:t>
            </w:r>
          </w:p>
        </w:tc>
        <w:tc>
          <w:tcPr>
            <w:tcW w:w="748"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8.26</w:t>
            </w:r>
          </w:p>
        </w:tc>
        <w:tc>
          <w:tcPr>
            <w:tcW w:w="76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8.51</w:t>
            </w:r>
          </w:p>
        </w:tc>
      </w:tr>
      <w:tr>
        <w:tblPrEx>
          <w:tblCellMar>
            <w:top w:w="0" w:type="dxa"/>
            <w:left w:w="0" w:type="dxa"/>
            <w:bottom w:w="0" w:type="dxa"/>
            <w:right w:w="0" w:type="dxa"/>
          </w:tblCellMar>
        </w:tblPrEx>
        <w:trPr>
          <w:trHeight w:val="742"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动力费（运营收入的4%计算）</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8210.98</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259.05</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296.46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333.87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381.60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382.16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383.33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413.98</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413.98</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413.98</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447.02</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448.33</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448.33</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483.98</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483.98</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483.98</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523.88</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523.88</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523.88</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565.32</w:t>
            </w:r>
          </w:p>
        </w:tc>
      </w:tr>
      <w:tr>
        <w:tblPrEx>
          <w:tblCellMar>
            <w:top w:w="0" w:type="dxa"/>
            <w:left w:w="0" w:type="dxa"/>
            <w:bottom w:w="0" w:type="dxa"/>
            <w:right w:w="0" w:type="dxa"/>
          </w:tblCellMar>
        </w:tblPrEx>
        <w:trPr>
          <w:trHeight w:val="640"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修缮费（折旧额的6%计算）</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5011.70</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263.77</w:t>
            </w:r>
          </w:p>
        </w:tc>
      </w:tr>
      <w:tr>
        <w:tblPrEx>
          <w:tblCellMar>
            <w:top w:w="0" w:type="dxa"/>
            <w:left w:w="0" w:type="dxa"/>
            <w:bottom w:w="0" w:type="dxa"/>
            <w:right w:w="0" w:type="dxa"/>
          </w:tblCellMar>
        </w:tblPrEx>
        <w:trPr>
          <w:trHeight w:val="742"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管理费用（运营收入的２%计算）</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4105.49</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129.53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148.23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166.94</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190.80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191.08</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191.66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206.99</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206.99</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206.99</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223.51</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224.17</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224.17</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241.99</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241.99</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241.99</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261.94</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261.94</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261.94</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282.66</w:t>
            </w:r>
          </w:p>
        </w:tc>
      </w:tr>
      <w:tr>
        <w:tblPrEx>
          <w:tblCellMar>
            <w:top w:w="0" w:type="dxa"/>
            <w:left w:w="0" w:type="dxa"/>
            <w:bottom w:w="0" w:type="dxa"/>
            <w:right w:w="0" w:type="dxa"/>
          </w:tblCellMar>
        </w:tblPrEx>
        <w:trPr>
          <w:trHeight w:val="742"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营销费用（运营收入的1%计算）</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2052.74</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64.76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74.12</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83.47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95.54</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95.83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111.75</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130.97</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130.97</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130.97</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141.33</w:t>
            </w:r>
          </w:p>
        </w:tc>
      </w:tr>
      <w:tr>
        <w:tblPrEx>
          <w:tblCellMar>
            <w:top w:w="0" w:type="dxa"/>
            <w:left w:w="0" w:type="dxa"/>
            <w:bottom w:w="0" w:type="dxa"/>
            <w:right w:w="0" w:type="dxa"/>
          </w:tblCellMar>
        </w:tblPrEx>
        <w:trPr>
          <w:trHeight w:val="381"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经营成本（1+2+3+4+5）</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25408.96</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957.12</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1029.79</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1102.67</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1193.83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1202.68</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1212.83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1274.81</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1283.40</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1292.26</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1359.20</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1370.89</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1380.57</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1452.92</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1463.19</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1473.76</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1554.47</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1565.68</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1577.24</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1661.66</w:t>
            </w:r>
          </w:p>
        </w:tc>
      </w:tr>
      <w:tr>
        <w:tblPrEx>
          <w:tblCellMar>
            <w:top w:w="0" w:type="dxa"/>
            <w:left w:w="0" w:type="dxa"/>
            <w:bottom w:w="0" w:type="dxa"/>
            <w:right w:w="0" w:type="dxa"/>
          </w:tblCellMar>
        </w:tblPrEx>
        <w:trPr>
          <w:trHeight w:val="381"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折旧费</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83528.31</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r>
      <w:tr>
        <w:tblPrEx>
          <w:tblCellMar>
            <w:top w:w="0" w:type="dxa"/>
            <w:left w:w="0" w:type="dxa"/>
            <w:bottom w:w="0" w:type="dxa"/>
            <w:right w:w="0" w:type="dxa"/>
          </w:tblCellMar>
        </w:tblPrEx>
        <w:trPr>
          <w:trHeight w:val="381"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8</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利息支出</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56240.00</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1520.00</w:t>
            </w:r>
          </w:p>
        </w:tc>
      </w:tr>
      <w:tr>
        <w:tblPrEx>
          <w:tblCellMar>
            <w:top w:w="0" w:type="dxa"/>
            <w:left w:w="0" w:type="dxa"/>
            <w:bottom w:w="0" w:type="dxa"/>
            <w:right w:w="0" w:type="dxa"/>
          </w:tblCellMar>
        </w:tblPrEx>
        <w:trPr>
          <w:trHeight w:val="381"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8.1</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专项债券利息支出</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56240.00</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3040.00</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1520.00</w:t>
            </w:r>
          </w:p>
        </w:tc>
      </w:tr>
      <w:tr>
        <w:tblPrEx>
          <w:tblCellMar>
            <w:top w:w="0" w:type="dxa"/>
            <w:left w:w="0" w:type="dxa"/>
            <w:bottom w:w="0" w:type="dxa"/>
            <w:right w:w="0" w:type="dxa"/>
          </w:tblCellMar>
        </w:tblPrEx>
        <w:trPr>
          <w:trHeight w:val="650" w:hRule="atLeast"/>
          <w:jc w:val="center"/>
        </w:trPr>
        <w:tc>
          <w:tcPr>
            <w:tcW w:w="3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14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总成本费用合计（6+7+8）</w:t>
            </w:r>
          </w:p>
        </w:tc>
        <w:tc>
          <w:tcPr>
            <w:tcW w:w="79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165177.27</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8393.34</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8466.01</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8538.90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8630.06</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8638.90</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8649.05</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8711.03</w:t>
            </w:r>
          </w:p>
        </w:tc>
        <w:tc>
          <w:tcPr>
            <w:tcW w:w="6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8719.63</w:t>
            </w:r>
          </w:p>
        </w:tc>
        <w:tc>
          <w:tcPr>
            <w:tcW w:w="72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8728.49</w:t>
            </w:r>
          </w:p>
        </w:tc>
        <w:tc>
          <w:tcPr>
            <w:tcW w:w="71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8795.43</w:t>
            </w:r>
          </w:p>
        </w:tc>
        <w:tc>
          <w:tcPr>
            <w:tcW w:w="75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8807.12</w:t>
            </w:r>
          </w:p>
        </w:tc>
        <w:tc>
          <w:tcPr>
            <w:tcW w:w="6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8816.80</w:t>
            </w:r>
          </w:p>
        </w:tc>
        <w:tc>
          <w:tcPr>
            <w:tcW w:w="65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8889.15</w:t>
            </w:r>
          </w:p>
        </w:tc>
        <w:tc>
          <w:tcPr>
            <w:tcW w:w="6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8899.41</w:t>
            </w:r>
          </w:p>
        </w:tc>
        <w:tc>
          <w:tcPr>
            <w:tcW w:w="665"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8909.99</w:t>
            </w:r>
          </w:p>
        </w:tc>
        <w:tc>
          <w:tcPr>
            <w:tcW w:w="78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8990.69</w:t>
            </w:r>
          </w:p>
        </w:tc>
        <w:tc>
          <w:tcPr>
            <w:tcW w:w="70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9001.91</w:t>
            </w:r>
          </w:p>
        </w:tc>
        <w:tc>
          <w:tcPr>
            <w:tcW w:w="74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9013.47</w:t>
            </w:r>
          </w:p>
        </w:tc>
        <w:tc>
          <w:tcPr>
            <w:tcW w:w="76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7577.89</w:t>
            </w:r>
          </w:p>
        </w:tc>
      </w:tr>
    </w:tbl>
    <w:p>
      <w:pPr>
        <w:pStyle w:val="7"/>
        <w:rPr>
          <w:rFonts w:cs="仿宋"/>
        </w:rPr>
      </w:pPr>
      <w:bookmarkStart w:id="207" w:name="_Toc4954"/>
      <w:bookmarkStart w:id="208" w:name="_Toc6196"/>
      <w:bookmarkStart w:id="209" w:name="_Toc892"/>
      <w:bookmarkStart w:id="210" w:name="_Hlk55993235"/>
      <w:r>
        <w:rPr>
          <w:rFonts w:hint="eastAsia" w:cs="仿宋"/>
        </w:rPr>
        <w:t>3.相关税费</w:t>
      </w:r>
      <w:bookmarkEnd w:id="207"/>
      <w:bookmarkEnd w:id="208"/>
      <w:bookmarkEnd w:id="209"/>
    </w:p>
    <w:p>
      <w:pPr>
        <w:ind w:firstLine="480"/>
      </w:pPr>
      <w:bookmarkStart w:id="211" w:name="_Toc13936"/>
      <w:bookmarkStart w:id="212" w:name="_Toc17967"/>
      <w:r>
        <w:rPr>
          <w:rFonts w:hint="eastAsia" w:cs="仿宋"/>
          <w:lang w:val="zh-CN"/>
        </w:rPr>
        <w:t>根据国家增值税和企业所得税法相关政策规定，本项目增值税按销项税额抵减进项税额计算，城市维护建设税按当年增值税的7%计算，教育费附加按当年增值税的3%计算，地方教育费附加按当年增值税的2%计算，房产税按从租价的12%计算，企业所得税税率25%。</w:t>
      </w:r>
      <w:bookmarkEnd w:id="211"/>
      <w:bookmarkEnd w:id="212"/>
    </w:p>
    <w:p>
      <w:pPr>
        <w:ind w:firstLine="480"/>
      </w:pPr>
      <w:r>
        <w:rPr>
          <w:rFonts w:hint="eastAsia"/>
        </w:rPr>
        <w:br w:type="page"/>
      </w:r>
    </w:p>
    <w:p>
      <w:pPr>
        <w:pStyle w:val="7"/>
      </w:pPr>
      <w:bookmarkStart w:id="213" w:name="_Toc7051"/>
      <w:bookmarkStart w:id="214" w:name="_Toc3619"/>
      <w:bookmarkStart w:id="215" w:name="_Toc9522"/>
      <w:r>
        <w:rPr>
          <w:rFonts w:hint="eastAsia"/>
        </w:rPr>
        <w:t>4.项目损益</w:t>
      </w:r>
      <w:bookmarkEnd w:id="213"/>
      <w:bookmarkEnd w:id="214"/>
      <w:bookmarkEnd w:id="215"/>
    </w:p>
    <w:p>
      <w:pPr>
        <w:ind w:firstLine="480"/>
      </w:pPr>
      <w:r>
        <w:rPr>
          <w:rFonts w:hint="eastAsia"/>
        </w:rPr>
        <w:t>根据测算，在计算期内，本项目预计运营收入205274.42万元，总成本费用165177.27万元，考虑税收成本后，净利润30142.28万元，损益情况如下表所示：</w:t>
      </w:r>
    </w:p>
    <w:p>
      <w:pPr>
        <w:pStyle w:val="140"/>
        <w:rPr>
          <w:rFonts w:hint="default"/>
        </w:rPr>
      </w:pPr>
      <w:r>
        <w:rPr>
          <w:lang w:bidi="zh-CN"/>
        </w:rPr>
        <w:t>项目损益预测表</w:t>
      </w:r>
      <w:r>
        <w:t>（金额单位：</w:t>
      </w:r>
      <w:r>
        <w:rPr>
          <w:lang w:val="zh-CN" w:bidi="zh-CN"/>
        </w:rPr>
        <w:t>人民币</w:t>
      </w:r>
      <w:r>
        <w:t>万元）</w:t>
      </w:r>
      <w:bookmarkEnd w:id="210"/>
      <w:bookmarkStart w:id="216" w:name="_Toc18634"/>
      <w:bookmarkStart w:id="217" w:name="_Toc27784"/>
    </w:p>
    <w:tbl>
      <w:tblPr>
        <w:tblStyle w:val="32"/>
        <w:tblW w:w="15198" w:type="dxa"/>
        <w:jc w:val="center"/>
        <w:tblLayout w:type="autofit"/>
        <w:tblCellMar>
          <w:top w:w="0" w:type="dxa"/>
          <w:left w:w="0" w:type="dxa"/>
          <w:bottom w:w="0" w:type="dxa"/>
          <w:right w:w="0" w:type="dxa"/>
        </w:tblCellMar>
      </w:tblPr>
      <w:tblGrid>
        <w:gridCol w:w="349"/>
        <w:gridCol w:w="926"/>
        <w:gridCol w:w="696"/>
        <w:gridCol w:w="696"/>
        <w:gridCol w:w="696"/>
        <w:gridCol w:w="696"/>
        <w:gridCol w:w="696"/>
        <w:gridCol w:w="696"/>
        <w:gridCol w:w="696"/>
        <w:gridCol w:w="696"/>
        <w:gridCol w:w="696"/>
        <w:gridCol w:w="696"/>
        <w:gridCol w:w="696"/>
        <w:gridCol w:w="696"/>
        <w:gridCol w:w="696"/>
        <w:gridCol w:w="696"/>
        <w:gridCol w:w="696"/>
        <w:gridCol w:w="696"/>
        <w:gridCol w:w="696"/>
        <w:gridCol w:w="696"/>
        <w:gridCol w:w="696"/>
        <w:gridCol w:w="699"/>
      </w:tblGrid>
      <w:tr>
        <w:tblPrEx>
          <w:tblCellMar>
            <w:top w:w="0" w:type="dxa"/>
            <w:left w:w="0" w:type="dxa"/>
            <w:bottom w:w="0" w:type="dxa"/>
            <w:right w:w="0" w:type="dxa"/>
          </w:tblCellMar>
        </w:tblPrEx>
        <w:trPr>
          <w:trHeight w:val="549" w:hRule="atLeast"/>
          <w:jc w:val="center"/>
        </w:trPr>
        <w:tc>
          <w:tcPr>
            <w:tcW w:w="349"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序号</w:t>
            </w:r>
          </w:p>
        </w:tc>
        <w:tc>
          <w:tcPr>
            <w:tcW w:w="926"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年份</w:t>
            </w:r>
            <w:r>
              <w:rPr>
                <w:rFonts w:hint="eastAsia" w:cs="仿宋"/>
                <w:kern w:val="0"/>
                <w:sz w:val="14"/>
                <w:szCs w:val="14"/>
                <w:lang w:bidi="ar"/>
              </w:rPr>
              <w:br w:type="textWrapping"/>
            </w:r>
            <w:r>
              <w:rPr>
                <w:rFonts w:hint="eastAsia" w:cs="仿宋"/>
                <w:kern w:val="0"/>
                <w:sz w:val="14"/>
                <w:szCs w:val="14"/>
                <w:lang w:bidi="ar"/>
              </w:rPr>
              <w:t>项目</w:t>
            </w:r>
          </w:p>
        </w:tc>
        <w:tc>
          <w:tcPr>
            <w:tcW w:w="696"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合计</w:t>
            </w:r>
          </w:p>
        </w:tc>
        <w:tc>
          <w:tcPr>
            <w:tcW w:w="13227" w:type="dxa"/>
            <w:gridSpan w:val="19"/>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运营期（年）</w:t>
            </w:r>
          </w:p>
        </w:tc>
      </w:tr>
      <w:tr>
        <w:tblPrEx>
          <w:tblCellMar>
            <w:top w:w="0" w:type="dxa"/>
            <w:left w:w="0" w:type="dxa"/>
            <w:bottom w:w="0" w:type="dxa"/>
            <w:right w:w="0" w:type="dxa"/>
          </w:tblCellMar>
        </w:tblPrEx>
        <w:trPr>
          <w:trHeight w:val="549" w:hRule="atLeast"/>
          <w:jc w:val="center"/>
        </w:trPr>
        <w:tc>
          <w:tcPr>
            <w:tcW w:w="349"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6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w:t>
            </w:r>
          </w:p>
        </w:tc>
        <w:tc>
          <w:tcPr>
            <w:tcW w:w="69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w:t>
            </w:r>
          </w:p>
        </w:tc>
        <w:tc>
          <w:tcPr>
            <w:tcW w:w="6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w:t>
            </w:r>
          </w:p>
        </w:tc>
      </w:tr>
      <w:tr>
        <w:tblPrEx>
          <w:tblCellMar>
            <w:top w:w="0" w:type="dxa"/>
            <w:left w:w="0" w:type="dxa"/>
            <w:bottom w:w="0" w:type="dxa"/>
            <w:right w:w="0" w:type="dxa"/>
          </w:tblCellMar>
        </w:tblPrEx>
        <w:trPr>
          <w:trHeight w:val="635"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92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本项目运营收入</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205274.42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6476.34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7411.60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8346.87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9540.01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9554.01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9583.25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11175.44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14132.94</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92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税金及附加</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30307.45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731.02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835.46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939.89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1420.94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2712.96</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总成本费用</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165177.27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8393.34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8466.01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8538.90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8630.06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8638.90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8649.05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8711.03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8719.63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8728.49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8795.43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8807.12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8816.80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8889.15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8899.41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8909.99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8990.69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9001.91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9013.47</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7577.89</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92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利润总额</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9789.71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-2648.03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-1889.87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-1131.92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-161.52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-156.36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-137.28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481.21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472.62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463.76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1130.25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1151.40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881.92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871.35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1597.11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1585.89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1574.34</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3842.09</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税前弥补亏损</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481.21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472.62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463.76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1130.25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1151.40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562.99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9"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未弥补亏损</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-2648.03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-4537.89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-5669.81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-5831.33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-5987.69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-6124.97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-5643.76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-5171.15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-4707.39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-3577.14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-2425.73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-1455.17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-562.99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9"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应税所得额</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9789.71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318.93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871.35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1597.11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1585.89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1574.34</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3842.09</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所得税（25%）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2447.43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79.73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217.84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399.28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396.47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393.58</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960.52</w:t>
            </w:r>
          </w:p>
        </w:tc>
      </w:tr>
      <w:tr>
        <w:tblPrEx>
          <w:tblCellMar>
            <w:top w:w="0" w:type="dxa"/>
            <w:left w:w="0" w:type="dxa"/>
            <w:bottom w:w="0" w:type="dxa"/>
            <w:right w:w="0" w:type="dxa"/>
          </w:tblCellMar>
        </w:tblPrEx>
        <w:trPr>
          <w:trHeight w:val="614"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项目税后利润</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7342.28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-2648.03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-1889.87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-1131.92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-161.52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-156.36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-137.28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481.21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472.62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463.76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1130.25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1151.40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892.19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802.19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653.51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1197.83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1189.42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1180.75</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2881.57</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92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补贴收入</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r>
      <w:tr>
        <w:tblPrEx>
          <w:tblCellMar>
            <w:top w:w="0" w:type="dxa"/>
            <w:left w:w="0" w:type="dxa"/>
            <w:bottom w:w="0" w:type="dxa"/>
            <w:right w:w="0" w:type="dxa"/>
          </w:tblCellMar>
        </w:tblPrEx>
        <w:trPr>
          <w:trHeight w:val="54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11</w:t>
            </w:r>
          </w:p>
        </w:tc>
        <w:tc>
          <w:tcPr>
            <w:tcW w:w="92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净利润</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30142.28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-1448.03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-689.87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68.08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1038.48</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1043.64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1062.72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1681.21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1672.62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1663.76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2330.25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2351.40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2170.56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2092.19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2002.19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1853.51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2397.83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2389.42</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2380.75</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bidi="ar"/>
              </w:rPr>
            </w:pPr>
            <w:r>
              <w:rPr>
                <w:rFonts w:hint="eastAsia" w:cs="仿宋"/>
                <w:kern w:val="0"/>
                <w:sz w:val="14"/>
                <w:szCs w:val="14"/>
                <w:lang w:bidi="ar"/>
              </w:rPr>
              <w:t>4081.57</w:t>
            </w:r>
          </w:p>
        </w:tc>
      </w:tr>
      <w:tr>
        <w:tblPrEx>
          <w:tblCellMar>
            <w:top w:w="0" w:type="dxa"/>
            <w:left w:w="0" w:type="dxa"/>
            <w:bottom w:w="0" w:type="dxa"/>
            <w:right w:w="0" w:type="dxa"/>
          </w:tblCellMar>
        </w:tblPrEx>
        <w:trPr>
          <w:trHeight w:val="579" w:hRule="atLeast"/>
          <w:jc w:val="center"/>
        </w:trPr>
        <w:tc>
          <w:tcPr>
            <w:tcW w:w="34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92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未分配利润</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-1448.03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-2137.89</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-2069.81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-1031.33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12.31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1075.03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2756.24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4428.85</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6092.61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8422.86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10774.27</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12944.83</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15037.01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17039.20</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18892.71</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21290.54</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23679.96</w:t>
            </w:r>
          </w:p>
        </w:tc>
        <w:tc>
          <w:tcPr>
            <w:tcW w:w="69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26060.71</w:t>
            </w:r>
          </w:p>
        </w:tc>
        <w:tc>
          <w:tcPr>
            <w:tcW w:w="699"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30142.28</w:t>
            </w:r>
          </w:p>
        </w:tc>
      </w:tr>
    </w:tbl>
    <w:p>
      <w:pPr>
        <w:ind w:firstLine="480"/>
      </w:pPr>
    </w:p>
    <w:p>
      <w:pPr>
        <w:pStyle w:val="7"/>
      </w:pPr>
      <w:bookmarkStart w:id="218" w:name="_Toc16888"/>
      <w:bookmarkStart w:id="219" w:name="_Toc32139"/>
      <w:bookmarkStart w:id="220" w:name="_Toc17494"/>
      <w:r>
        <w:rPr>
          <w:rFonts w:hint="eastAsia"/>
        </w:rPr>
        <w:t>5.息前现金净流量</w:t>
      </w:r>
      <w:bookmarkEnd w:id="218"/>
      <w:bookmarkEnd w:id="219"/>
      <w:bookmarkEnd w:id="220"/>
    </w:p>
    <w:p>
      <w:pPr>
        <w:ind w:firstLine="480"/>
      </w:pPr>
      <w:r>
        <w:rPr>
          <w:rFonts w:hint="eastAsia"/>
        </w:rPr>
        <w:t>净利润加上各期发生的非付现成本即可得出各期现金净流量。各年固定资产折旧费、无形资产摊销费属于非付现成本。</w:t>
      </w:r>
      <w:r>
        <w:rPr>
          <w:rFonts w:hint="eastAsia"/>
          <w:b/>
          <w:bCs/>
        </w:rPr>
        <w:t>用于资金测算平衡的净现金流量为息前净现金流量。</w:t>
      </w:r>
      <w:r>
        <w:rPr>
          <w:rFonts w:hint="eastAsia"/>
        </w:rPr>
        <w:t>因此净利润加上各期发生的非付现成本得出的现金净流量应加上各年支付的债券利息（财务报表中的债券财务费用），得出息前净现金流量。即专项债券融资的还款资金</w:t>
      </w:r>
      <w:r>
        <w:t>=当年净利润+运营期债券财务费用及项目折旧摊销</w:t>
      </w:r>
      <w:r>
        <w:rPr>
          <w:rFonts w:hint="eastAsia"/>
        </w:rPr>
        <w:t>。</w:t>
      </w:r>
    </w:p>
    <w:p>
      <w:pPr>
        <w:ind w:firstLine="480"/>
        <w:rPr>
          <w:rFonts w:hint="eastAsia"/>
        </w:rPr>
      </w:pPr>
      <w:r>
        <w:rPr>
          <w:rFonts w:hint="eastAsia"/>
        </w:rPr>
        <w:t>根据测算，</w:t>
      </w:r>
      <w:bookmarkStart w:id="221" w:name="_Hlk55378773"/>
      <w:r>
        <w:rPr>
          <w:rFonts w:hint="eastAsia"/>
        </w:rPr>
        <w:t>截止债券到期</w:t>
      </w:r>
      <w:bookmarkEnd w:id="221"/>
      <w:r>
        <w:rPr>
          <w:rFonts w:hint="eastAsia"/>
        </w:rPr>
        <w:t>该项目实现息前净现金流量为169910.59万元，总体债券本息和为140800.00万元。偿债覆盖率=项目息前净现金流量/总体债券还本付息=1.21。经上述测算，项目预期实现的运营净收入能够合理保障偿还融资本金和利息，对本期债券本息的覆盖率为1.21倍，能够实现项目收益和融资自求平衡。详见下表所示：</w:t>
      </w:r>
    </w:p>
    <w:p>
      <w:pPr>
        <w:pStyle w:val="140"/>
        <w:keepNext w:val="0"/>
        <w:keepLines w:val="0"/>
        <w:pageBreakBefore w:val="0"/>
        <w:widowControl w:val="0"/>
        <w:kinsoku/>
        <w:wordWrap/>
        <w:overflowPunct/>
        <w:topLinePunct w:val="0"/>
        <w:autoSpaceDE/>
        <w:autoSpaceDN/>
        <w:bidi w:val="0"/>
        <w:adjustRightInd/>
        <w:snapToGrid/>
        <w:spacing w:before="0" w:after="0" w:line="240" w:lineRule="auto"/>
        <w:textAlignment w:val="auto"/>
        <w:rPr>
          <w:rFonts w:hint="default"/>
        </w:rPr>
      </w:pPr>
      <w:r>
        <w:rPr>
          <w:lang w:val="zh-CN"/>
        </w:rPr>
        <w:t>息前净现金流量测算表（金额单位：人民币万元）</w:t>
      </w:r>
    </w:p>
    <w:tbl>
      <w:tblPr>
        <w:tblStyle w:val="32"/>
        <w:tblpPr w:leftFromText="180" w:rightFromText="180" w:vertAnchor="text" w:horzAnchor="page" w:tblpX="1305" w:tblpY="540"/>
        <w:tblOverlap w:val="never"/>
        <w:tblW w:w="14218" w:type="dxa"/>
        <w:tblInd w:w="0" w:type="dxa"/>
        <w:tblLayout w:type="autofit"/>
        <w:tblCellMar>
          <w:top w:w="0" w:type="dxa"/>
          <w:left w:w="0" w:type="dxa"/>
          <w:bottom w:w="0" w:type="dxa"/>
          <w:right w:w="0" w:type="dxa"/>
        </w:tblCellMar>
      </w:tblPr>
      <w:tblGrid>
        <w:gridCol w:w="447"/>
        <w:gridCol w:w="1036"/>
        <w:gridCol w:w="640"/>
        <w:gridCol w:w="640"/>
        <w:gridCol w:w="612"/>
        <w:gridCol w:w="612"/>
        <w:gridCol w:w="570"/>
        <w:gridCol w:w="613"/>
        <w:gridCol w:w="586"/>
        <w:gridCol w:w="645"/>
        <w:gridCol w:w="645"/>
        <w:gridCol w:w="645"/>
        <w:gridCol w:w="640"/>
        <w:gridCol w:w="645"/>
        <w:gridCol w:w="645"/>
        <w:gridCol w:w="645"/>
        <w:gridCol w:w="645"/>
        <w:gridCol w:w="645"/>
        <w:gridCol w:w="646"/>
        <w:gridCol w:w="646"/>
        <w:gridCol w:w="690"/>
        <w:gridCol w:w="680"/>
      </w:tblGrid>
      <w:tr>
        <w:tblPrEx>
          <w:tblCellMar>
            <w:top w:w="0" w:type="dxa"/>
            <w:left w:w="0" w:type="dxa"/>
            <w:bottom w:w="0" w:type="dxa"/>
            <w:right w:w="0" w:type="dxa"/>
          </w:tblCellMar>
        </w:tblPrEx>
        <w:trPr>
          <w:trHeight w:val="777" w:hRule="atLeast"/>
        </w:trPr>
        <w:tc>
          <w:tcPr>
            <w:tcW w:w="44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序号</w:t>
            </w:r>
          </w:p>
        </w:tc>
        <w:tc>
          <w:tcPr>
            <w:tcW w:w="1036"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项目</w:t>
            </w:r>
          </w:p>
        </w:tc>
        <w:tc>
          <w:tcPr>
            <w:tcW w:w="640"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合计</w:t>
            </w:r>
          </w:p>
        </w:tc>
        <w:tc>
          <w:tcPr>
            <w:tcW w:w="12095" w:type="dxa"/>
            <w:gridSpan w:val="19"/>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运营期（年）</w:t>
            </w:r>
          </w:p>
        </w:tc>
      </w:tr>
      <w:tr>
        <w:tblPrEx>
          <w:tblCellMar>
            <w:top w:w="0" w:type="dxa"/>
            <w:left w:w="0" w:type="dxa"/>
            <w:bottom w:w="0" w:type="dxa"/>
            <w:right w:w="0" w:type="dxa"/>
          </w:tblCellMar>
        </w:tblPrEx>
        <w:trPr>
          <w:trHeight w:val="777" w:hRule="atLeast"/>
        </w:trPr>
        <w:tc>
          <w:tcPr>
            <w:tcW w:w="447"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cs="仿宋"/>
                <w:kern w:val="0"/>
                <w:sz w:val="14"/>
                <w:szCs w:val="14"/>
                <w:lang w:val="zh-CN" w:bidi="zh-CN"/>
              </w:rPr>
            </w:pPr>
          </w:p>
        </w:tc>
        <w:tc>
          <w:tcPr>
            <w:tcW w:w="1036" w:type="dxa"/>
            <w:vMerge w:val="continue"/>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cs="仿宋"/>
                <w:kern w:val="0"/>
                <w:sz w:val="14"/>
                <w:szCs w:val="14"/>
                <w:lang w:val="zh-CN" w:bidi="zh-CN"/>
              </w:rPr>
            </w:pPr>
          </w:p>
        </w:tc>
        <w:tc>
          <w:tcPr>
            <w:tcW w:w="640"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cs="仿宋"/>
                <w:kern w:val="0"/>
                <w:sz w:val="14"/>
                <w:szCs w:val="14"/>
                <w:lang w:val="zh-CN" w:bidi="zh-CN"/>
              </w:rPr>
            </w:pPr>
          </w:p>
        </w:tc>
        <w:tc>
          <w:tcPr>
            <w:tcW w:w="64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612"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612"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57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613"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58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64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w:t>
            </w:r>
          </w:p>
        </w:tc>
        <w:tc>
          <w:tcPr>
            <w:tcW w:w="64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w:t>
            </w:r>
          </w:p>
        </w:tc>
        <w:tc>
          <w:tcPr>
            <w:tcW w:w="64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w:t>
            </w:r>
          </w:p>
        </w:tc>
        <w:tc>
          <w:tcPr>
            <w:tcW w:w="64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w:t>
            </w:r>
          </w:p>
        </w:tc>
        <w:tc>
          <w:tcPr>
            <w:tcW w:w="69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w:t>
            </w:r>
          </w:p>
        </w:tc>
        <w:tc>
          <w:tcPr>
            <w:tcW w:w="680"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w:t>
            </w:r>
          </w:p>
        </w:tc>
      </w:tr>
      <w:tr>
        <w:tblPrEx>
          <w:tblCellMar>
            <w:top w:w="0" w:type="dxa"/>
            <w:left w:w="0" w:type="dxa"/>
            <w:bottom w:w="0" w:type="dxa"/>
            <w:right w:w="0" w:type="dxa"/>
          </w:tblCellMar>
        </w:tblPrEx>
        <w:trPr>
          <w:trHeight w:val="1083" w:hRule="atLeast"/>
        </w:trPr>
        <w:tc>
          <w:tcPr>
            <w:tcW w:w="4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10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净利润</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30142.28</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-1448.03</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-689.87</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68.08</w:t>
            </w:r>
          </w:p>
        </w:tc>
        <w:tc>
          <w:tcPr>
            <w:tcW w:w="57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1038.48</w:t>
            </w:r>
          </w:p>
        </w:tc>
        <w:tc>
          <w:tcPr>
            <w:tcW w:w="61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1043.64</w:t>
            </w:r>
          </w:p>
        </w:tc>
        <w:tc>
          <w:tcPr>
            <w:tcW w:w="58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1062.72</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1681.21</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1672.62</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1663.76</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2330.25</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2351.40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2170.56</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2092.19</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2002.19</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1853.51</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2397.83</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2389.42</w:t>
            </w:r>
          </w:p>
        </w:tc>
        <w:tc>
          <w:tcPr>
            <w:tcW w:w="69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2380.75</w:t>
            </w:r>
          </w:p>
        </w:tc>
        <w:tc>
          <w:tcPr>
            <w:tcW w:w="6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4081.57</w:t>
            </w:r>
          </w:p>
        </w:tc>
      </w:tr>
      <w:tr>
        <w:tblPrEx>
          <w:tblCellMar>
            <w:top w:w="0" w:type="dxa"/>
            <w:left w:w="0" w:type="dxa"/>
            <w:bottom w:w="0" w:type="dxa"/>
            <w:right w:w="0" w:type="dxa"/>
          </w:tblCellMar>
        </w:tblPrEx>
        <w:trPr>
          <w:trHeight w:val="1083" w:hRule="atLeast"/>
        </w:trPr>
        <w:tc>
          <w:tcPr>
            <w:tcW w:w="4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10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折旧及摊销</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83528.31</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57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1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58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9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c>
          <w:tcPr>
            <w:tcW w:w="6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4396.23</w:t>
            </w:r>
          </w:p>
        </w:tc>
      </w:tr>
      <w:tr>
        <w:tblPrEx>
          <w:tblCellMar>
            <w:top w:w="0" w:type="dxa"/>
            <w:left w:w="0" w:type="dxa"/>
            <w:bottom w:w="0" w:type="dxa"/>
            <w:right w:w="0" w:type="dxa"/>
          </w:tblCellMar>
        </w:tblPrEx>
        <w:trPr>
          <w:trHeight w:val="1083" w:hRule="atLeast"/>
        </w:trPr>
        <w:tc>
          <w:tcPr>
            <w:tcW w:w="4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10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财务费用</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56240.00</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57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1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58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9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1520.00</w:t>
            </w:r>
          </w:p>
        </w:tc>
      </w:tr>
      <w:tr>
        <w:tblPrEx>
          <w:tblCellMar>
            <w:top w:w="0" w:type="dxa"/>
            <w:left w:w="0" w:type="dxa"/>
            <w:bottom w:w="0" w:type="dxa"/>
            <w:right w:w="0" w:type="dxa"/>
          </w:tblCellMar>
        </w:tblPrEx>
        <w:trPr>
          <w:trHeight w:val="1089" w:hRule="atLeast"/>
        </w:trPr>
        <w:tc>
          <w:tcPr>
            <w:tcW w:w="4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10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息前现金净流量(1+2+3)</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169910.59</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5988.20</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6746.36</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7504.31</w:t>
            </w:r>
          </w:p>
        </w:tc>
        <w:tc>
          <w:tcPr>
            <w:tcW w:w="57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8474.71</w:t>
            </w:r>
          </w:p>
        </w:tc>
        <w:tc>
          <w:tcPr>
            <w:tcW w:w="61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8479.87</w:t>
            </w:r>
          </w:p>
        </w:tc>
        <w:tc>
          <w:tcPr>
            <w:tcW w:w="58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8498.95</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9117.44</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9108.84</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9099.99</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9766.48</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9787.63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9606.78</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9528.41</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9438.41</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9289.74</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9834.06</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9825.64</w:t>
            </w:r>
          </w:p>
        </w:tc>
        <w:tc>
          <w:tcPr>
            <w:tcW w:w="69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9816.98</w:t>
            </w:r>
          </w:p>
        </w:tc>
        <w:tc>
          <w:tcPr>
            <w:tcW w:w="6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9997.80</w:t>
            </w:r>
          </w:p>
        </w:tc>
      </w:tr>
      <w:tr>
        <w:tblPrEx>
          <w:tblCellMar>
            <w:top w:w="0" w:type="dxa"/>
            <w:left w:w="0" w:type="dxa"/>
            <w:bottom w:w="0" w:type="dxa"/>
            <w:right w:w="0" w:type="dxa"/>
          </w:tblCellMar>
        </w:tblPrEx>
        <w:trPr>
          <w:trHeight w:val="1111" w:hRule="atLeast"/>
        </w:trPr>
        <w:tc>
          <w:tcPr>
            <w:tcW w:w="447"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10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累计息前现金净流量</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5988.20</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12734.56</w:t>
            </w:r>
          </w:p>
        </w:tc>
        <w:tc>
          <w:tcPr>
            <w:tcW w:w="61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20238.87</w:t>
            </w:r>
          </w:p>
        </w:tc>
        <w:tc>
          <w:tcPr>
            <w:tcW w:w="57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28713.58</w:t>
            </w:r>
          </w:p>
        </w:tc>
        <w:tc>
          <w:tcPr>
            <w:tcW w:w="61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37193.44</w:t>
            </w:r>
          </w:p>
        </w:tc>
        <w:tc>
          <w:tcPr>
            <w:tcW w:w="58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45692.39</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54809.83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63918.67</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73018.66</w:t>
            </w:r>
          </w:p>
        </w:tc>
        <w:tc>
          <w:tcPr>
            <w:tcW w:w="6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82785.13</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92572.76</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102179.55</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111707.96</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121146.38</w:t>
            </w:r>
          </w:p>
        </w:tc>
        <w:tc>
          <w:tcPr>
            <w:tcW w:w="64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130436.11</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140270.17</w:t>
            </w:r>
          </w:p>
        </w:tc>
        <w:tc>
          <w:tcPr>
            <w:tcW w:w="6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150095.81</w:t>
            </w:r>
          </w:p>
        </w:tc>
        <w:tc>
          <w:tcPr>
            <w:tcW w:w="69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159912.79</w:t>
            </w:r>
          </w:p>
        </w:tc>
        <w:tc>
          <w:tcPr>
            <w:tcW w:w="68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169910.59</w:t>
            </w:r>
          </w:p>
        </w:tc>
      </w:tr>
      <w:bookmarkEnd w:id="216"/>
      <w:bookmarkEnd w:id="217"/>
    </w:tbl>
    <w:p>
      <w:pPr>
        <w:pStyle w:val="2"/>
        <w:ind w:firstLine="210"/>
        <w:sectPr>
          <w:pgSz w:w="16838" w:h="11906" w:orient="landscape"/>
          <w:pgMar w:top="850" w:right="850" w:bottom="850" w:left="850" w:header="851" w:footer="992" w:gutter="0"/>
          <w:cols w:space="0" w:num="1"/>
          <w:docGrid w:type="lines" w:linePitch="329" w:charSpace="0"/>
        </w:sectPr>
      </w:pPr>
      <w:bookmarkStart w:id="222" w:name="_Toc55468469"/>
      <w:bookmarkStart w:id="223" w:name="_Toc9031"/>
      <w:bookmarkStart w:id="224" w:name="_Toc4702"/>
      <w:bookmarkStart w:id="225" w:name="_Hlk55993264"/>
    </w:p>
    <w:p>
      <w:pPr>
        <w:pStyle w:val="7"/>
      </w:pPr>
      <w:bookmarkStart w:id="226" w:name="_Toc19069"/>
      <w:bookmarkStart w:id="227" w:name="_Toc8071"/>
      <w:bookmarkStart w:id="228" w:name="_Toc14085"/>
      <w:bookmarkStart w:id="229" w:name="_Toc29955"/>
      <w:r>
        <w:rPr>
          <w:rFonts w:hint="eastAsia"/>
        </w:rPr>
        <w:t>6.还本付息</w:t>
      </w:r>
      <w:bookmarkEnd w:id="226"/>
      <w:bookmarkEnd w:id="227"/>
      <w:bookmarkEnd w:id="228"/>
    </w:p>
    <w:p>
      <w:pPr>
        <w:ind w:firstLine="480"/>
      </w:pPr>
      <w:bookmarkStart w:id="230" w:name="_Hlk56778436"/>
      <w:r>
        <w:rPr>
          <w:rFonts w:hint="eastAsia"/>
        </w:rPr>
        <w:t>本项目拟融资金额80000.00万元，假设融资利率3.80%，期限为20年，每年支付利息，在每期债券存续期最后一年一次性还本，应还本付息情况如下：</w:t>
      </w:r>
      <w:bookmarkEnd w:id="230"/>
    </w:p>
    <w:p>
      <w:pPr>
        <w:pStyle w:val="140"/>
        <w:rPr>
          <w:rFonts w:hint="default"/>
          <w:lang w:val="zh-CN" w:bidi="zh-CN"/>
        </w:rPr>
      </w:pPr>
      <w:bookmarkStart w:id="231" w:name="_Hlk55993245"/>
      <w:r>
        <w:t>还本付息表（</w:t>
      </w:r>
      <w:bookmarkEnd w:id="231"/>
      <w:r>
        <w:rPr>
          <w:lang w:val="zh-CN" w:bidi="zh-CN"/>
        </w:rPr>
        <w:t>金额单位：人民币万元）</w:t>
      </w:r>
    </w:p>
    <w:tbl>
      <w:tblPr>
        <w:tblStyle w:val="32"/>
        <w:tblW w:w="15367" w:type="dxa"/>
        <w:jc w:val="center"/>
        <w:tblLayout w:type="fixed"/>
        <w:tblCellMar>
          <w:top w:w="0" w:type="dxa"/>
          <w:left w:w="0" w:type="dxa"/>
          <w:bottom w:w="0" w:type="dxa"/>
          <w:right w:w="0" w:type="dxa"/>
        </w:tblCellMar>
      </w:tblPr>
      <w:tblGrid>
        <w:gridCol w:w="342"/>
        <w:gridCol w:w="1246"/>
        <w:gridCol w:w="633"/>
        <w:gridCol w:w="556"/>
        <w:gridCol w:w="633"/>
        <w:gridCol w:w="633"/>
        <w:gridCol w:w="633"/>
        <w:gridCol w:w="633"/>
        <w:gridCol w:w="633"/>
        <w:gridCol w:w="633"/>
        <w:gridCol w:w="633"/>
        <w:gridCol w:w="633"/>
        <w:gridCol w:w="633"/>
        <w:gridCol w:w="633"/>
        <w:gridCol w:w="633"/>
        <w:gridCol w:w="633"/>
        <w:gridCol w:w="633"/>
        <w:gridCol w:w="634"/>
        <w:gridCol w:w="634"/>
        <w:gridCol w:w="634"/>
        <w:gridCol w:w="634"/>
        <w:gridCol w:w="634"/>
        <w:gridCol w:w="634"/>
        <w:gridCol w:w="557"/>
      </w:tblGrid>
      <w:tr>
        <w:tblPrEx>
          <w:tblCellMar>
            <w:top w:w="0" w:type="dxa"/>
            <w:left w:w="0" w:type="dxa"/>
            <w:bottom w:w="0" w:type="dxa"/>
            <w:right w:w="0" w:type="dxa"/>
          </w:tblCellMar>
        </w:tblPrEx>
        <w:trPr>
          <w:trHeight w:val="160" w:hRule="atLeast"/>
          <w:jc w:val="center"/>
        </w:trPr>
        <w:tc>
          <w:tcPr>
            <w:tcW w:w="342"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序号</w:t>
            </w:r>
          </w:p>
        </w:tc>
        <w:tc>
          <w:tcPr>
            <w:tcW w:w="1246"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项目</w:t>
            </w:r>
          </w:p>
        </w:tc>
        <w:tc>
          <w:tcPr>
            <w:tcW w:w="633"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合计</w:t>
            </w:r>
          </w:p>
        </w:tc>
        <w:tc>
          <w:tcPr>
            <w:tcW w:w="1189" w:type="dxa"/>
            <w:gridSpan w:val="2"/>
            <w:tcBorders>
              <w:top w:val="single" w:color="000000" w:sz="4" w:space="0"/>
              <w:left w:val="single" w:color="000000" w:sz="4" w:space="0"/>
              <w:bottom w:val="single" w:color="000000" w:sz="4" w:space="0"/>
              <w:right w:val="nil"/>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建设期</w:t>
            </w:r>
          </w:p>
        </w:tc>
        <w:tc>
          <w:tcPr>
            <w:tcW w:w="11957" w:type="dxa"/>
            <w:gridSpan w:val="19"/>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项目还款期</w:t>
            </w:r>
          </w:p>
        </w:tc>
      </w:tr>
      <w:tr>
        <w:tblPrEx>
          <w:tblCellMar>
            <w:top w:w="0" w:type="dxa"/>
            <w:left w:w="0" w:type="dxa"/>
            <w:bottom w:w="0" w:type="dxa"/>
            <w:right w:w="0" w:type="dxa"/>
          </w:tblCellMar>
        </w:tblPrEx>
        <w:trPr>
          <w:trHeight w:val="160" w:hRule="atLeast"/>
          <w:jc w:val="center"/>
        </w:trPr>
        <w:tc>
          <w:tcPr>
            <w:tcW w:w="342"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3"/>
                <w:szCs w:val="13"/>
                <w:lang w:val="zh-CN" w:bidi="zh-CN"/>
              </w:rPr>
            </w:pPr>
          </w:p>
        </w:tc>
        <w:tc>
          <w:tcPr>
            <w:tcW w:w="633"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3"/>
                <w:szCs w:val="13"/>
                <w:lang w:val="zh-CN" w:bidi="zh-CN"/>
              </w:rPr>
            </w:pP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第2年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第3年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第4年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第5年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第6年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第7年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第8年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第9年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第10年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第11年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第12年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第13年</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第14年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第15年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第16年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第17年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第18年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第19年</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第20年</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第21年</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一</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发行债券（利率）</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3.80%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期初本金金额</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本年新增本金</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本年应计利息</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60800.00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其中：计入建设期利息</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4560.00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计入还款期利息</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56240.00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本年还本付息</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140800.00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43040.00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41520.00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还本</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付息</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60800.00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5</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期末本金金额</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80000.00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40000.00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二</w:t>
            </w:r>
          </w:p>
        </w:tc>
        <w:tc>
          <w:tcPr>
            <w:tcW w:w="15025" w:type="dxa"/>
            <w:gridSpan w:val="23"/>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还款资金来源及还款分析</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w:t>
            </w: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还款资金来源</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169910.59</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5988.20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6746.36</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7504.31</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8474.71</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8479.87</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8498.95</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9117.44</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9108.84</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9099.99</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9766.48</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9787.63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9606.78</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9528.41</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9438.41</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9289.74</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9834.06</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9825.64</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9816.98</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9997.80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当年净利润</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30142.28</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-1448.03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-689.87</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68.08</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1038.48</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1043.64</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1062.72</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1681.21</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1672.62</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1663.76</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2330.25</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2351.40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2170.56</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2092.19</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2002.19</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1853.51</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2397.83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2389.42</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2380.75</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4081.57</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债券财务费用</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56240.00</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3040.00</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1520.00</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折旧及摊销</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83528.31</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63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c>
          <w:tcPr>
            <w:tcW w:w="55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4396.23</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2</w:t>
            </w:r>
          </w:p>
        </w:tc>
        <w:tc>
          <w:tcPr>
            <w:tcW w:w="15025" w:type="dxa"/>
            <w:gridSpan w:val="23"/>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本息偿还分析</w:t>
            </w:r>
          </w:p>
        </w:tc>
      </w:tr>
      <w:tr>
        <w:tblPrEx>
          <w:tblCellMar>
            <w:top w:w="0" w:type="dxa"/>
            <w:left w:w="0" w:type="dxa"/>
            <w:bottom w:w="0" w:type="dxa"/>
            <w:right w:w="0" w:type="dxa"/>
          </w:tblCellMar>
        </w:tblPrEx>
        <w:trPr>
          <w:trHeight w:val="283" w:hRule="exact"/>
          <w:jc w:val="center"/>
        </w:trPr>
        <w:tc>
          <w:tcPr>
            <w:tcW w:w="342"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1246"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本息覆盖倍数</w:t>
            </w:r>
          </w:p>
        </w:tc>
        <w:tc>
          <w:tcPr>
            <w:tcW w:w="63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3"/>
                <w:szCs w:val="13"/>
                <w:lang w:val="zh-CN" w:bidi="zh-CN"/>
              </w:rPr>
            </w:pPr>
            <w:r>
              <w:rPr>
                <w:rFonts w:hint="eastAsia" w:cs="仿宋"/>
                <w:kern w:val="0"/>
                <w:sz w:val="13"/>
                <w:szCs w:val="13"/>
                <w:lang w:bidi="ar"/>
              </w:rPr>
              <w:t>1.21</w:t>
            </w:r>
          </w:p>
        </w:tc>
        <w:tc>
          <w:tcPr>
            <w:tcW w:w="55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63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c>
          <w:tcPr>
            <w:tcW w:w="55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3"/>
                <w:szCs w:val="13"/>
                <w:lang w:val="zh-CN" w:bidi="zh-CN"/>
              </w:rPr>
            </w:pPr>
          </w:p>
        </w:tc>
      </w:tr>
    </w:tbl>
    <w:p>
      <w:pPr>
        <w:ind w:firstLine="480"/>
      </w:pPr>
      <w:r>
        <w:rPr>
          <w:rFonts w:hint="eastAsia"/>
        </w:rPr>
        <w:br w:type="page"/>
      </w:r>
    </w:p>
    <w:p>
      <w:pPr>
        <w:pStyle w:val="6"/>
      </w:pPr>
      <w:bookmarkStart w:id="232" w:name="_Toc11717"/>
      <w:bookmarkStart w:id="233" w:name="_Toc17489"/>
      <w:r>
        <w:rPr>
          <w:rFonts w:hint="eastAsia"/>
        </w:rPr>
        <w:t>（二）资金测算平衡情况</w:t>
      </w:r>
      <w:bookmarkEnd w:id="222"/>
      <w:bookmarkEnd w:id="223"/>
      <w:bookmarkEnd w:id="224"/>
      <w:bookmarkEnd w:id="229"/>
      <w:bookmarkEnd w:id="232"/>
      <w:bookmarkEnd w:id="233"/>
    </w:p>
    <w:p>
      <w:pPr>
        <w:ind w:firstLine="480"/>
        <w:rPr>
          <w:lang w:val="zh-CN"/>
        </w:rPr>
      </w:pPr>
      <w:r>
        <w:rPr>
          <w:rFonts w:hint="eastAsia"/>
        </w:rPr>
        <w:t>待本项目全部80000.00万元专项债券到期时，在偿还当年到期的专项债券本息后，将仍有33670.59万元的累计现金结余，本期债券本息的覆盖率为1.21倍，</w:t>
      </w:r>
      <w:r>
        <w:rPr>
          <w:rFonts w:hint="eastAsia"/>
          <w:lang w:val="zh-CN"/>
        </w:rPr>
        <w:t>能够实现项目收益和融资自求平衡。</w:t>
      </w:r>
      <w:bookmarkEnd w:id="225"/>
    </w:p>
    <w:p>
      <w:pPr>
        <w:ind w:firstLine="480"/>
        <w:rPr>
          <w:lang w:val="zh-CN"/>
        </w:rPr>
      </w:pPr>
      <w:bookmarkStart w:id="234" w:name="_Hlk55993272"/>
      <w:r>
        <w:rPr>
          <w:rFonts w:hint="eastAsia"/>
          <w:lang w:val="zh-CN"/>
        </w:rPr>
        <w:t>项目资金测算平衡情况如下表所示：</w:t>
      </w:r>
    </w:p>
    <w:p>
      <w:pPr>
        <w:pStyle w:val="140"/>
        <w:rPr>
          <w:rFonts w:hint="default"/>
        </w:rPr>
      </w:pPr>
      <w:r>
        <w:t>财务估算现金流量表（金额单位：人民币万元）</w:t>
      </w:r>
      <w:bookmarkEnd w:id="234"/>
    </w:p>
    <w:p>
      <w:pPr>
        <w:pStyle w:val="2"/>
        <w:ind w:firstLine="210"/>
        <w:rPr>
          <w:rFonts w:ascii="仿宋" w:hAnsi="仿宋" w:eastAsia="仿宋" w:cs="仿宋"/>
        </w:rPr>
      </w:pPr>
    </w:p>
    <w:tbl>
      <w:tblPr>
        <w:tblStyle w:val="32"/>
        <w:tblW w:w="15798" w:type="dxa"/>
        <w:jc w:val="center"/>
        <w:tblLayout w:type="autofit"/>
        <w:tblCellMar>
          <w:top w:w="0" w:type="dxa"/>
          <w:left w:w="0" w:type="dxa"/>
          <w:bottom w:w="0" w:type="dxa"/>
          <w:right w:w="0" w:type="dxa"/>
        </w:tblCellMar>
      </w:tblPr>
      <w:tblGrid>
        <w:gridCol w:w="472"/>
        <w:gridCol w:w="780"/>
        <w:gridCol w:w="704"/>
        <w:gridCol w:w="704"/>
        <w:gridCol w:w="623"/>
        <w:gridCol w:w="623"/>
        <w:gridCol w:w="623"/>
        <w:gridCol w:w="623"/>
        <w:gridCol w:w="623"/>
        <w:gridCol w:w="623"/>
        <w:gridCol w:w="623"/>
        <w:gridCol w:w="623"/>
        <w:gridCol w:w="623"/>
        <w:gridCol w:w="623"/>
        <w:gridCol w:w="623"/>
        <w:gridCol w:w="623"/>
        <w:gridCol w:w="710"/>
        <w:gridCol w:w="710"/>
        <w:gridCol w:w="710"/>
        <w:gridCol w:w="710"/>
        <w:gridCol w:w="710"/>
        <w:gridCol w:w="710"/>
        <w:gridCol w:w="707"/>
        <w:gridCol w:w="710"/>
      </w:tblGrid>
      <w:tr>
        <w:tblPrEx>
          <w:tblCellMar>
            <w:top w:w="0" w:type="dxa"/>
            <w:left w:w="0" w:type="dxa"/>
            <w:bottom w:w="0" w:type="dxa"/>
            <w:right w:w="0" w:type="dxa"/>
          </w:tblCellMar>
        </w:tblPrEx>
        <w:trPr>
          <w:trHeight w:val="275" w:hRule="atLeast"/>
          <w:jc w:val="center"/>
        </w:trPr>
        <w:tc>
          <w:tcPr>
            <w:tcW w:w="472"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序号</w:t>
            </w:r>
          </w:p>
        </w:tc>
        <w:tc>
          <w:tcPr>
            <w:tcW w:w="799"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项目</w:t>
            </w:r>
          </w:p>
        </w:tc>
        <w:tc>
          <w:tcPr>
            <w:tcW w:w="1408"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建设期投资</w:t>
            </w:r>
          </w:p>
        </w:tc>
        <w:tc>
          <w:tcPr>
            <w:tcW w:w="12443" w:type="dxa"/>
            <w:gridSpan w:val="19"/>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运营期（年）</w:t>
            </w:r>
          </w:p>
        </w:tc>
        <w:tc>
          <w:tcPr>
            <w:tcW w:w="676"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合计</w:t>
            </w:r>
          </w:p>
        </w:tc>
      </w:tr>
      <w:tr>
        <w:tblPrEx>
          <w:tblCellMar>
            <w:top w:w="0" w:type="dxa"/>
            <w:left w:w="0" w:type="dxa"/>
            <w:bottom w:w="0" w:type="dxa"/>
            <w:right w:w="0" w:type="dxa"/>
          </w:tblCellMar>
        </w:tblPrEx>
        <w:trPr>
          <w:trHeight w:val="275" w:hRule="atLeast"/>
          <w:jc w:val="center"/>
        </w:trPr>
        <w:tc>
          <w:tcPr>
            <w:tcW w:w="472"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99"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仿宋"/>
                <w:kern w:val="0"/>
                <w:sz w:val="14"/>
                <w:szCs w:val="14"/>
                <w:lang w:val="zh-CN" w:bidi="zh-CN"/>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19</w:t>
            </w:r>
          </w:p>
        </w:tc>
        <w:tc>
          <w:tcPr>
            <w:tcW w:w="67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80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经营活动净现金流量（1.1-1.2）</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5988.20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6746.36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7504.31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8474.71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8479.87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8498.95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9117.44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9108.84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9099.99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9766.48</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9787.63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9606.78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9528.41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9438.41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9289.74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9834.06</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9825.64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9816.98</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9997.80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169910.59</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7676.34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8611.60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9546.87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10740.01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10754.01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10783.25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12375.44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12408.29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12408.29</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13299.48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14296.88</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15332.94</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228074.42</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营业收入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6476.34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7411.60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8346.87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9540.01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9554.01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9583.25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10349.44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11175.44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11208.29</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12099.48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13096.88</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14132.94</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205274.42</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补贴收入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22800.00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其他流入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r>
      <w:tr>
        <w:tblPrEx>
          <w:tblCellMar>
            <w:top w:w="0" w:type="dxa"/>
            <w:left w:w="0" w:type="dxa"/>
            <w:bottom w:w="0" w:type="dxa"/>
            <w:right w:w="0" w:type="dxa"/>
          </w:tblCellMar>
        </w:tblPrEx>
        <w:trPr>
          <w:trHeight w:val="31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1688.14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1865.24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2042.56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2265.30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2274.15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2284.30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2432.00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2440.59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2449.45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2608.96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2620.66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2801.51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3771.07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3861.07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4009.74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4462.82</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4471.23</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4479.90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5335.15</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58163.83</w:t>
            </w:r>
          </w:p>
        </w:tc>
      </w:tr>
      <w:tr>
        <w:tblPrEx>
          <w:tblCellMar>
            <w:top w:w="0" w:type="dxa"/>
            <w:left w:w="0" w:type="dxa"/>
            <w:bottom w:w="0" w:type="dxa"/>
            <w:right w:w="0" w:type="dxa"/>
          </w:tblCellMar>
        </w:tblPrEx>
        <w:trPr>
          <w:trHeight w:val="31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经营成本</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957.12</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1029.79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1102.67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1193.83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1202.68</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1212.83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1274.81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1283.40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1292.26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1359.20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1370.89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1380.57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1452.92</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1463.19</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1473.76</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1554.47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1565.68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1577.24</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1661.66</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25408.96</w:t>
            </w:r>
          </w:p>
        </w:tc>
      </w:tr>
      <w:tr>
        <w:tblPrEx>
          <w:tblCellMar>
            <w:top w:w="0" w:type="dxa"/>
            <w:left w:w="0" w:type="dxa"/>
            <w:bottom w:w="0" w:type="dxa"/>
            <w:right w:w="0" w:type="dxa"/>
          </w:tblCellMar>
        </w:tblPrEx>
        <w:trPr>
          <w:trHeight w:val="31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税金及附加</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731.02</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835.46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939.89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1071.47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1157.19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1249.76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1420.94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2318.15</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2509.08</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2712.96</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30307.45</w:t>
            </w:r>
          </w:p>
        </w:tc>
      </w:tr>
      <w:tr>
        <w:tblPrEx>
          <w:tblCellMar>
            <w:top w:w="0" w:type="dxa"/>
            <w:left w:w="0" w:type="dxa"/>
            <w:bottom w:w="0" w:type="dxa"/>
            <w:right w:w="0" w:type="dxa"/>
          </w:tblCellMar>
        </w:tblPrEx>
        <w:trPr>
          <w:trHeight w:val="31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1.2.3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所得税</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79.73</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217.84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399.28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396.47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393.58</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960.52</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2447.43</w:t>
            </w:r>
          </w:p>
        </w:tc>
      </w:tr>
      <w:tr>
        <w:tblPrEx>
          <w:tblCellMar>
            <w:top w:w="0" w:type="dxa"/>
            <w:left w:w="0" w:type="dxa"/>
            <w:bottom w:w="0" w:type="dxa"/>
            <w:right w:w="0" w:type="dxa"/>
          </w:tblCellMar>
        </w:tblPrEx>
        <w:trPr>
          <w:trHeight w:val="80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投资活动净现金流量(2.1-2.2)</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-101701.06</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101701.06</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建设投资</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101701.06</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维持运营投资</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流动资金</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2.2.4</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其他流出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80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筹资活动净现金流量(3.1-3.2)</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-43040.00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-41520.00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-34538.94</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101701.06</w:t>
            </w:r>
          </w:p>
        </w:tc>
      </w:tr>
      <w:tr>
        <w:tblPrEx>
          <w:tblCellMar>
            <w:top w:w="0" w:type="dxa"/>
            <w:left w:w="0" w:type="dxa"/>
            <w:bottom w:w="0" w:type="dxa"/>
            <w:right w:w="0" w:type="dxa"/>
          </w:tblCellMar>
        </w:tblPrEx>
        <w:trPr>
          <w:trHeight w:val="54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项目资本金投入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10090.53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11610.53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21701.06</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建设投资借款</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流动资金借款</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34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3.1.4</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债券资金流入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40000.00</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40000.00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80000.00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3.1.5</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短期借款</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3.1.6</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其他流入</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现金流出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43040.00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41520.00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136240.00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3.2.1</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各种利息支出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3040.00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1520.00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56240.00</w:t>
            </w:r>
          </w:p>
        </w:tc>
      </w:tr>
      <w:tr>
        <w:tblPrEx>
          <w:tblCellMar>
            <w:top w:w="0" w:type="dxa"/>
            <w:left w:w="0" w:type="dxa"/>
            <w:bottom w:w="0" w:type="dxa"/>
            <w:right w:w="0" w:type="dxa"/>
          </w:tblCellMar>
        </w:tblPrEx>
        <w:trPr>
          <w:trHeight w:val="54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3.2.2</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b/>
                <w:bCs/>
                <w:kern w:val="0"/>
                <w:sz w:val="14"/>
                <w:szCs w:val="14"/>
                <w:lang w:bidi="ar"/>
              </w:rPr>
              <w:t>偿还债券本金流出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b/>
                <w:bCs/>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40000.00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40000.00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b/>
                <w:bCs/>
                <w:kern w:val="0"/>
                <w:sz w:val="14"/>
                <w:szCs w:val="14"/>
                <w:lang w:val="zh-CN" w:bidi="zh-CN"/>
              </w:rPr>
            </w:pPr>
            <w:r>
              <w:rPr>
                <w:rFonts w:hint="eastAsia" w:cs="仿宋"/>
                <w:kern w:val="0"/>
                <w:sz w:val="14"/>
                <w:szCs w:val="14"/>
                <w:lang w:bidi="ar"/>
              </w:rPr>
              <w:t>80000.00</w:t>
            </w:r>
          </w:p>
        </w:tc>
      </w:tr>
      <w:tr>
        <w:tblPrEx>
          <w:tblCellMar>
            <w:top w:w="0" w:type="dxa"/>
            <w:left w:w="0" w:type="dxa"/>
            <w:bottom w:w="0" w:type="dxa"/>
            <w:right w:w="0" w:type="dxa"/>
          </w:tblCellMar>
        </w:tblPrEx>
        <w:trPr>
          <w:trHeight w:val="54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3.2.3</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应付利润(股利分配)</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r>
      <w:tr>
        <w:tblPrEx>
          <w:tblCellMar>
            <w:top w:w="0" w:type="dxa"/>
            <w:left w:w="0" w:type="dxa"/>
            <w:bottom w:w="0" w:type="dxa"/>
            <w:right w:w="0" w:type="dxa"/>
          </w:tblCellMar>
        </w:tblPrEx>
        <w:trPr>
          <w:trHeight w:val="275"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3.2.4</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其他流出</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4"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23"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10"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707"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r>
      <w:tr>
        <w:tblPrEx>
          <w:tblCellMar>
            <w:top w:w="0" w:type="dxa"/>
            <w:left w:w="0" w:type="dxa"/>
            <w:bottom w:w="0" w:type="dxa"/>
            <w:right w:w="0" w:type="dxa"/>
          </w:tblCellMar>
        </w:tblPrEx>
        <w:trPr>
          <w:trHeight w:val="54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净现金流量（1+2+3）</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2948.20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3706.36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4464.31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5434.71</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5439.87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5458.95</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6077.44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6068.84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6059.99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6726.48</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6747.63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6566.78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6488.41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6398.41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6249.74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6794.06</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6785.64</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-33223.02</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-31522.20</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33670.59</w:t>
            </w:r>
          </w:p>
        </w:tc>
      </w:tr>
      <w:tr>
        <w:tblPrEx>
          <w:tblCellMar>
            <w:top w:w="0" w:type="dxa"/>
            <w:left w:w="0" w:type="dxa"/>
            <w:bottom w:w="0" w:type="dxa"/>
            <w:right w:w="0"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w:t>
            </w:r>
          </w:p>
        </w:tc>
        <w:tc>
          <w:tcPr>
            <w:tcW w:w="79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累计盈余资金</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704"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0.00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2948.20</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6654.56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11118.87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16553.58</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21993.44</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27452.39</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33529.83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39598.67</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45658.66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52385.13</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59132.76</w:t>
            </w:r>
          </w:p>
        </w:tc>
        <w:tc>
          <w:tcPr>
            <w:tcW w:w="623"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65699.55</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72187.96</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78586.38</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84836.11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91630.17</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98415.81</w:t>
            </w:r>
          </w:p>
        </w:tc>
        <w:tc>
          <w:tcPr>
            <w:tcW w:w="710"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65192.79</w:t>
            </w:r>
          </w:p>
        </w:tc>
        <w:tc>
          <w:tcPr>
            <w:tcW w:w="707" w:type="dxa"/>
            <w:tcBorders>
              <w:top w:val="single" w:color="000000" w:sz="4" w:space="0"/>
              <w:left w:val="single" w:color="000000" w:sz="4" w:space="0"/>
              <w:bottom w:val="single" w:color="000000" w:sz="4" w:space="0"/>
              <w:right w:val="single" w:color="000000" w:sz="4" w:space="0"/>
            </w:tcBorders>
            <w:noWrap/>
            <w:vAlign w:val="center"/>
          </w:tcPr>
          <w:p>
            <w:pPr>
              <w:widowControl/>
              <w:spacing w:line="240" w:lineRule="auto"/>
              <w:ind w:firstLine="0" w:firstLineChars="0"/>
              <w:jc w:val="center"/>
              <w:textAlignment w:val="center"/>
              <w:rPr>
                <w:rFonts w:cs="仿宋"/>
                <w:kern w:val="0"/>
                <w:sz w:val="14"/>
                <w:szCs w:val="14"/>
                <w:lang w:val="zh-CN" w:bidi="zh-CN"/>
              </w:rPr>
            </w:pPr>
            <w:r>
              <w:rPr>
                <w:rFonts w:hint="eastAsia" w:cs="仿宋"/>
                <w:kern w:val="0"/>
                <w:sz w:val="14"/>
                <w:szCs w:val="14"/>
                <w:lang w:bidi="ar"/>
              </w:rPr>
              <w:t>33670.59</w:t>
            </w:r>
          </w:p>
        </w:tc>
        <w:tc>
          <w:tcPr>
            <w:tcW w:w="676" w:type="dxa"/>
            <w:tcBorders>
              <w:top w:val="single" w:color="000000" w:sz="4" w:space="0"/>
              <w:left w:val="single" w:color="000000" w:sz="4" w:space="0"/>
              <w:bottom w:val="single" w:color="000000" w:sz="4" w:space="0"/>
              <w:right w:val="single" w:color="000000" w:sz="4" w:space="0"/>
            </w:tcBorders>
            <w:noWrap/>
            <w:vAlign w:val="center"/>
          </w:tcPr>
          <w:p>
            <w:pPr>
              <w:spacing w:line="240" w:lineRule="auto"/>
              <w:ind w:firstLine="0" w:firstLineChars="0"/>
              <w:jc w:val="center"/>
              <w:rPr>
                <w:rFonts w:cs="仿宋"/>
                <w:kern w:val="0"/>
                <w:sz w:val="14"/>
                <w:szCs w:val="14"/>
                <w:lang w:val="zh-CN" w:bidi="zh-CN"/>
              </w:rPr>
            </w:pPr>
          </w:p>
        </w:tc>
      </w:tr>
    </w:tbl>
    <w:p>
      <w:pPr>
        <w:ind w:firstLine="480"/>
        <w:rPr>
          <w:rFonts w:cs="仿宋"/>
        </w:rPr>
        <w:sectPr>
          <w:pgSz w:w="16838" w:h="11906" w:orient="landscape"/>
          <w:pgMar w:top="850" w:right="850" w:bottom="850" w:left="850" w:header="851" w:footer="992" w:gutter="0"/>
          <w:cols w:space="720" w:num="1"/>
          <w:docGrid w:type="lines" w:linePitch="312" w:charSpace="0"/>
        </w:sectPr>
      </w:pPr>
    </w:p>
    <w:p>
      <w:pPr>
        <w:pStyle w:val="6"/>
      </w:pPr>
      <w:bookmarkStart w:id="235" w:name="_Toc55468470"/>
      <w:bookmarkStart w:id="236" w:name="_Toc511"/>
      <w:bookmarkStart w:id="237" w:name="_Toc12118"/>
      <w:bookmarkStart w:id="238" w:name="_Toc9039"/>
      <w:bookmarkStart w:id="239" w:name="_Toc12390"/>
      <w:bookmarkStart w:id="240" w:name="_Toc15571"/>
      <w:bookmarkStart w:id="241" w:name="_Hlk55993286"/>
      <w:r>
        <w:rPr>
          <w:rFonts w:hint="eastAsia"/>
        </w:rPr>
        <w:t>（三）其他事项说明</w:t>
      </w:r>
      <w:bookmarkEnd w:id="235"/>
      <w:bookmarkEnd w:id="236"/>
      <w:bookmarkEnd w:id="237"/>
      <w:bookmarkEnd w:id="238"/>
      <w:bookmarkEnd w:id="239"/>
      <w:bookmarkEnd w:id="240"/>
    </w:p>
    <w:p>
      <w:pPr>
        <w:ind w:firstLine="480"/>
        <w:rPr>
          <w:rFonts w:cs="仿宋"/>
          <w:lang w:val="zh-CN"/>
        </w:rPr>
      </w:pPr>
      <w:r>
        <w:rPr>
          <w:rFonts w:hint="eastAsia" w:cs="仿宋"/>
          <w:lang w:val="zh-CN"/>
        </w:rPr>
        <w:t>1</w:t>
      </w:r>
      <w:r>
        <w:rPr>
          <w:rFonts w:hint="eastAsia" w:cs="仿宋"/>
        </w:rPr>
        <w:t>.</w:t>
      </w:r>
      <w:r>
        <w:rPr>
          <w:rFonts w:hint="eastAsia" w:cs="仿宋"/>
          <w:lang w:val="zh-CN"/>
        </w:rPr>
        <w:t>本项目收益主要来源于</w:t>
      </w:r>
      <w:r>
        <w:rPr>
          <w:rFonts w:hint="eastAsia" w:cs="仿宋"/>
        </w:rPr>
        <w:t>项目运营收入和补贴收入</w:t>
      </w:r>
      <w:r>
        <w:rPr>
          <w:rFonts w:hint="eastAsia" w:cs="仿宋"/>
          <w:lang w:val="zh-CN"/>
        </w:rPr>
        <w:t>。影响项目收入整体价格水平的因素主要有政策性因素、区位性因素，政策性因素包括政府制定的各项相关政策及城市规划等因素，区位性因素主要表现为区域的自然因素、位置条件、地形地貌条件、区域环境条件、基础设施条件等。</w:t>
      </w:r>
    </w:p>
    <w:p>
      <w:pPr>
        <w:ind w:firstLine="480"/>
        <w:rPr>
          <w:rFonts w:cs="仿宋"/>
          <w:lang w:val="zh-CN"/>
        </w:rPr>
      </w:pPr>
      <w:r>
        <w:rPr>
          <w:rFonts w:hint="eastAsia" w:cs="仿宋"/>
          <w:lang w:val="zh-CN"/>
        </w:rPr>
        <w:t>2</w:t>
      </w:r>
      <w:r>
        <w:rPr>
          <w:rFonts w:hint="eastAsia" w:cs="仿宋"/>
        </w:rPr>
        <w:t>.</w:t>
      </w:r>
      <w:r>
        <w:rPr>
          <w:rFonts w:hint="eastAsia" w:cs="仿宋"/>
          <w:lang w:val="zh-CN"/>
        </w:rPr>
        <w:t>如项目较预期提前取得收益，具备提前还款能力，</w:t>
      </w:r>
      <w:r>
        <w:rPr>
          <w:rFonts w:hint="eastAsia" w:cs="仿宋"/>
        </w:rPr>
        <w:t>主管单位</w:t>
      </w:r>
      <w:r>
        <w:rPr>
          <w:rFonts w:hint="eastAsia" w:cs="仿宋"/>
          <w:lang w:val="zh-CN"/>
        </w:rPr>
        <w:t>可结合提前所取得收益情况，根据相关约定申请提前还款，提前还本付息并无需承担债券违约责任。</w:t>
      </w:r>
    </w:p>
    <w:p>
      <w:pPr>
        <w:pStyle w:val="6"/>
        <w:rPr>
          <w:rFonts w:cs="仿宋"/>
        </w:rPr>
      </w:pPr>
      <w:bookmarkStart w:id="242" w:name="_Toc28001"/>
      <w:bookmarkStart w:id="243" w:name="_Toc24009"/>
      <w:bookmarkStart w:id="244" w:name="_Toc16591"/>
      <w:bookmarkStart w:id="245" w:name="_Toc55468471"/>
      <w:bookmarkStart w:id="246" w:name="_Toc30628"/>
      <w:bookmarkStart w:id="247" w:name="_Toc19795"/>
      <w:r>
        <w:rPr>
          <w:rFonts w:hint="eastAsia" w:cs="仿宋"/>
        </w:rPr>
        <w:t>（四）独立第三方专业机构进行评估意见</w:t>
      </w:r>
      <w:bookmarkEnd w:id="242"/>
      <w:bookmarkEnd w:id="243"/>
      <w:bookmarkEnd w:id="244"/>
      <w:bookmarkEnd w:id="245"/>
      <w:bookmarkEnd w:id="246"/>
      <w:bookmarkEnd w:id="247"/>
    </w:p>
    <w:p>
      <w:pPr>
        <w:pStyle w:val="7"/>
        <w:rPr>
          <w:rFonts w:cs="仿宋"/>
        </w:rPr>
      </w:pPr>
      <w:bookmarkStart w:id="248" w:name="_Toc1076"/>
      <w:bookmarkStart w:id="249" w:name="_Toc17709"/>
      <w:bookmarkStart w:id="250" w:name="_Toc10287"/>
      <w:bookmarkStart w:id="251" w:name="_Toc16446"/>
      <w:bookmarkStart w:id="252" w:name="_Toc31478"/>
      <w:r>
        <w:rPr>
          <w:rFonts w:hint="eastAsia" w:cs="仿宋"/>
        </w:rPr>
        <w:t>1.会计师事务所评估意见</w:t>
      </w:r>
      <w:bookmarkEnd w:id="248"/>
      <w:bookmarkEnd w:id="249"/>
      <w:bookmarkEnd w:id="250"/>
      <w:bookmarkEnd w:id="251"/>
      <w:bookmarkEnd w:id="252"/>
    </w:p>
    <w:p>
      <w:pPr>
        <w:ind w:firstLine="480"/>
        <w:rPr>
          <w:lang w:val="zh-CN"/>
        </w:rPr>
      </w:pPr>
      <w:r>
        <w:rPr>
          <w:rFonts w:hint="eastAsia" w:cs="仿宋"/>
          <w:lang w:val="zh-CN"/>
        </w:rPr>
        <w:t>会计师事务所名称出具</w:t>
      </w:r>
      <w:r>
        <w:rPr>
          <w:rFonts w:hint="eastAsia"/>
          <w:lang w:val="zh-CN"/>
        </w:rPr>
        <w:t>《现代交通产业功能区微网优联基础设施及配套项目项目收益与融资自求平衡专项评价报告》，意见如下：</w:t>
      </w:r>
    </w:p>
    <w:p>
      <w:pPr>
        <w:ind w:firstLine="480"/>
      </w:pPr>
      <w:r>
        <w:rPr>
          <w:rFonts w:hint="eastAsia"/>
        </w:rPr>
        <w:t>（1）本项目拟以发行专项债券的方式对外融资80000.00万元，假设融资成本为3.80%的情况下，截止融资存续期最后一年，息前净现金流量为169910.59万元，总体融资本息和为140800.00万元。</w:t>
      </w:r>
    </w:p>
    <w:p>
      <w:pPr>
        <w:ind w:firstLine="480"/>
      </w:pPr>
      <w:r>
        <w:rPr>
          <w:rFonts w:hint="eastAsia"/>
        </w:rPr>
        <w:t>（2）现代交通产业功能区微网优联基础设施及配套项目收益为项目建成后运营产生的现金流入及补贴收入，预期收益可用以偿还债务本息实现资金平衡,其中：项目债券本息覆盖倍数为1.21倍。</w:t>
      </w:r>
    </w:p>
    <w:p>
      <w:pPr>
        <w:ind w:firstLine="480"/>
      </w:pPr>
      <w:r>
        <w:rPr>
          <w:rFonts w:hint="eastAsia"/>
        </w:rPr>
        <w:t>（3）现代交通产业功能区微网优联基础设施及配套项目以建成后运营收入及补贴收入为资金来源，待本项目全部80000.00万元专项债到期时，在偿还到期的融资本息后，将仍有33670.59万元的累计现金结余。预期实现的运营净收入能够合理保障偿还融资本金和利息,能够实现项目收益和融资自求平衡。</w:t>
      </w:r>
    </w:p>
    <w:p>
      <w:pPr>
        <w:ind w:firstLine="480"/>
        <w:rPr>
          <w:lang w:val="zh-CN"/>
        </w:rPr>
      </w:pPr>
      <w:r>
        <w:rPr>
          <w:rFonts w:hint="eastAsia"/>
          <w:lang w:val="zh-CN"/>
        </w:rPr>
        <w:t>综上，我们认为，项目可以采取发行项目收益与融资自求平衡专项债券的资金筹措方案。</w:t>
      </w:r>
    </w:p>
    <w:p>
      <w:pPr>
        <w:pStyle w:val="7"/>
        <w:rPr>
          <w:rFonts w:cs="仿宋"/>
        </w:rPr>
      </w:pPr>
      <w:bookmarkStart w:id="253" w:name="_Toc25591"/>
      <w:bookmarkStart w:id="254" w:name="_Toc5788"/>
      <w:bookmarkStart w:id="255" w:name="_Toc14147"/>
      <w:bookmarkStart w:id="256" w:name="_Toc16706"/>
      <w:bookmarkStart w:id="257" w:name="_Toc15803"/>
      <w:r>
        <w:rPr>
          <w:rFonts w:hint="eastAsia" w:cs="仿宋"/>
        </w:rPr>
        <w:t>2.律师事务所法律意见</w:t>
      </w:r>
      <w:bookmarkEnd w:id="253"/>
      <w:bookmarkEnd w:id="254"/>
      <w:bookmarkEnd w:id="255"/>
      <w:bookmarkEnd w:id="256"/>
      <w:bookmarkEnd w:id="257"/>
    </w:p>
    <w:p>
      <w:pPr>
        <w:ind w:firstLine="480"/>
        <w:rPr>
          <w:rFonts w:cs="仿宋"/>
          <w:lang w:val="zh-CN"/>
        </w:rPr>
      </w:pPr>
      <w:r>
        <w:rPr>
          <w:rFonts w:hint="eastAsia" w:cs="仿宋"/>
          <w:lang w:val="zh-CN"/>
        </w:rPr>
        <w:t>律师事务所名称出具《</w:t>
      </w:r>
      <w:r>
        <w:rPr>
          <w:rFonts w:hint="eastAsia" w:cs="仿宋"/>
        </w:rPr>
        <w:t>现代交通产业功能区微网优联基础设施及配套项目专项债券法律意见书</w:t>
      </w:r>
      <w:r>
        <w:rPr>
          <w:rFonts w:hint="eastAsia" w:cs="仿宋"/>
          <w:lang w:val="zh-CN"/>
        </w:rPr>
        <w:t>》，意见如下：</w:t>
      </w:r>
    </w:p>
    <w:p>
      <w:pPr>
        <w:ind w:firstLine="480"/>
        <w:rPr>
          <w:rFonts w:cs="仿宋"/>
          <w:lang w:val="zh-CN"/>
        </w:rPr>
      </w:pPr>
      <w:r>
        <w:rPr>
          <w:rFonts w:hint="eastAsia" w:cs="仿宋"/>
          <w:lang w:val="zh-CN"/>
        </w:rPr>
        <w:t>（</w:t>
      </w:r>
      <w:r>
        <w:rPr>
          <w:rFonts w:hint="eastAsia" w:cs="仿宋"/>
        </w:rPr>
        <w:t>1</w:t>
      </w:r>
      <w:r>
        <w:rPr>
          <w:rFonts w:hint="eastAsia" w:cs="仿宋"/>
          <w:lang w:val="zh-CN"/>
        </w:rPr>
        <w:t>）本所律师认为，主管单位是依法经批准设立的机关，具备机关法人资格，具有相应的民事权利能力和民事行为能力；项目业主系经批准设立的</w:t>
      </w:r>
      <w:r>
        <w:rPr>
          <w:rFonts w:hint="eastAsia" w:cs="仿宋"/>
        </w:rPr>
        <w:t>企业单位</w:t>
      </w:r>
      <w:r>
        <w:rPr>
          <w:rFonts w:hint="eastAsia" w:cs="仿宋"/>
          <w:lang w:val="zh-CN"/>
        </w:rPr>
        <w:t>法人，具有相应的民事权利能力和民事行为能力。上述</w:t>
      </w:r>
      <w:r>
        <w:rPr>
          <w:rFonts w:hint="eastAsia" w:cs="仿宋"/>
        </w:rPr>
        <w:t>主管单位</w:t>
      </w:r>
      <w:r>
        <w:rPr>
          <w:rFonts w:hint="eastAsia" w:cs="仿宋"/>
          <w:lang w:val="zh-CN"/>
        </w:rPr>
        <w:t>及项目业主均具备本项目相应的主体资格。</w:t>
      </w:r>
    </w:p>
    <w:p>
      <w:pPr>
        <w:ind w:firstLine="480"/>
        <w:rPr>
          <w:rFonts w:cs="仿宋"/>
          <w:lang w:val="zh-CN"/>
        </w:rPr>
      </w:pPr>
      <w:r>
        <w:rPr>
          <w:rFonts w:hint="eastAsia" w:cs="仿宋"/>
          <w:lang w:val="zh-CN"/>
        </w:rPr>
        <w:t>（</w:t>
      </w:r>
      <w:r>
        <w:rPr>
          <w:rFonts w:hint="eastAsia" w:cs="仿宋"/>
        </w:rPr>
        <w:t>2</w:t>
      </w:r>
      <w:r>
        <w:rPr>
          <w:rFonts w:hint="eastAsia" w:cs="仿宋"/>
          <w:lang w:val="zh-CN"/>
        </w:rPr>
        <w:t>）本所律师认为，本期债券发行所对应的项目已取得了现阶段与项目工程配套的批复文件和相关许可，但尚需按法律、法规要求进行后期建设等工作。</w:t>
      </w:r>
    </w:p>
    <w:p>
      <w:pPr>
        <w:ind w:firstLine="480"/>
        <w:rPr>
          <w:rFonts w:cs="仿宋"/>
          <w:lang w:val="zh-CN"/>
        </w:rPr>
      </w:pPr>
      <w:r>
        <w:rPr>
          <w:rFonts w:hint="eastAsia" w:cs="仿宋"/>
          <w:lang w:val="zh-CN"/>
        </w:rPr>
        <w:t>（</w:t>
      </w:r>
      <w:r>
        <w:rPr>
          <w:rFonts w:hint="eastAsia" w:cs="仿宋"/>
        </w:rPr>
        <w:t>3</w:t>
      </w:r>
      <w:r>
        <w:rPr>
          <w:rFonts w:hint="eastAsia" w:cs="仿宋"/>
          <w:lang w:val="zh-CN"/>
        </w:rPr>
        <w:t>）该项目具有公益性且有收益，符合财预〔201</w:t>
      </w:r>
      <w:r>
        <w:rPr>
          <w:rFonts w:hint="eastAsia" w:cs="仿宋"/>
        </w:rPr>
        <w:t>7</w:t>
      </w:r>
      <w:r>
        <w:rPr>
          <w:rFonts w:hint="eastAsia" w:cs="仿宋"/>
          <w:lang w:val="zh-CN"/>
        </w:rPr>
        <w:t>〕89号文关于“积极探索在有一定收益的公益性事业领域分类发行专项债券”的领域要求。</w:t>
      </w:r>
    </w:p>
    <w:p>
      <w:pPr>
        <w:ind w:firstLine="480"/>
        <w:rPr>
          <w:rFonts w:cs="仿宋"/>
          <w:lang w:val="zh-CN"/>
        </w:rPr>
      </w:pPr>
      <w:r>
        <w:rPr>
          <w:rFonts w:hint="eastAsia" w:cs="仿宋"/>
          <w:lang w:val="zh-CN"/>
        </w:rPr>
        <w:t>（</w:t>
      </w:r>
      <w:r>
        <w:rPr>
          <w:rFonts w:hint="eastAsia" w:cs="仿宋"/>
        </w:rPr>
        <w:t>4</w:t>
      </w:r>
      <w:r>
        <w:rPr>
          <w:rFonts w:hint="eastAsia" w:cs="仿宋"/>
          <w:lang w:val="zh-CN"/>
        </w:rPr>
        <w:t>）本期债券的资金来源和资金用途符合财政部关于印发《地方政府债券发行管理办法》的通知（财库〔2020〕43号）等法律法规的规定，且本期债券及资金保障措施为本次项目提供较为充足的资金支持。</w:t>
      </w:r>
    </w:p>
    <w:p>
      <w:pPr>
        <w:ind w:firstLine="480"/>
        <w:rPr>
          <w:rFonts w:cs="仿宋"/>
          <w:lang w:val="zh-CN"/>
        </w:rPr>
      </w:pPr>
      <w:r>
        <w:rPr>
          <w:rFonts w:hint="eastAsia" w:cs="仿宋"/>
          <w:lang w:val="zh-CN"/>
        </w:rPr>
        <w:t>（</w:t>
      </w:r>
      <w:r>
        <w:rPr>
          <w:rFonts w:hint="eastAsia" w:cs="仿宋"/>
        </w:rPr>
        <w:t>5</w:t>
      </w:r>
      <w:r>
        <w:rPr>
          <w:rFonts w:hint="eastAsia" w:cs="仿宋"/>
          <w:lang w:val="zh-CN"/>
        </w:rPr>
        <w:t>）根据《专项评价报告》及《实施方案》的测算，本项目融资与收益能够达到平衡，符合财预〔201</w:t>
      </w:r>
      <w:r>
        <w:rPr>
          <w:rFonts w:hint="eastAsia" w:cs="仿宋"/>
        </w:rPr>
        <w:t>7</w:t>
      </w:r>
      <w:r>
        <w:rPr>
          <w:rFonts w:hint="eastAsia" w:cs="仿宋"/>
          <w:lang w:val="zh-CN"/>
        </w:rPr>
        <w:t>〕89号</w:t>
      </w:r>
      <w:r>
        <w:rPr>
          <w:rFonts w:hint="eastAsia" w:cs="仿宋"/>
        </w:rPr>
        <w:t>文</w:t>
      </w:r>
      <w:r>
        <w:rPr>
          <w:rFonts w:hint="eastAsia" w:cs="仿宋"/>
          <w:lang w:val="zh-CN"/>
        </w:rPr>
        <w:t>关于“应当能够产生持续稳定的反映为政府性基金收入或专项收入的现金流收入，且现金流收入应当能够完全覆盖专项债券还本付息的规模”的条件要求。</w:t>
      </w:r>
    </w:p>
    <w:p>
      <w:pPr>
        <w:ind w:firstLine="480"/>
        <w:rPr>
          <w:rFonts w:cs="仿宋"/>
          <w:lang w:val="zh-CN"/>
        </w:rPr>
      </w:pPr>
      <w:r>
        <w:rPr>
          <w:rFonts w:hint="eastAsia" w:cs="仿宋"/>
          <w:lang w:val="zh-CN"/>
        </w:rPr>
        <w:t>（</w:t>
      </w:r>
      <w:r>
        <w:rPr>
          <w:rFonts w:hint="eastAsia" w:cs="仿宋"/>
        </w:rPr>
        <w:t>6</w:t>
      </w:r>
      <w:r>
        <w:rPr>
          <w:rFonts w:hint="eastAsia" w:cs="仿宋"/>
          <w:lang w:val="zh-CN"/>
        </w:rPr>
        <w:t>）为本期债券发行提供服务的律师事务所、会计师事务所均具备相应的从业资质。</w:t>
      </w:r>
    </w:p>
    <w:p>
      <w:pPr>
        <w:ind w:firstLine="480"/>
        <w:rPr>
          <w:rFonts w:cs="仿宋"/>
          <w:lang w:val="zh-CN"/>
        </w:rPr>
      </w:pPr>
      <w:r>
        <w:rPr>
          <w:rFonts w:hint="eastAsia" w:cs="仿宋"/>
          <w:lang w:val="zh-CN"/>
        </w:rPr>
        <w:t>（</w:t>
      </w:r>
      <w:r>
        <w:rPr>
          <w:rFonts w:hint="eastAsia" w:cs="仿宋"/>
        </w:rPr>
        <w:t>7</w:t>
      </w:r>
      <w:r>
        <w:rPr>
          <w:rFonts w:hint="eastAsia" w:cs="仿宋"/>
          <w:lang w:val="zh-CN"/>
        </w:rPr>
        <w:t>）本项目可依法向四川省人民政府申请发行本项目，但尚需四川省人民政府审核，具体事项以四川省人民政府审核确定为准。</w:t>
      </w:r>
    </w:p>
    <w:p>
      <w:pPr>
        <w:ind w:firstLine="480"/>
        <w:rPr>
          <w:rFonts w:cs="仿宋"/>
          <w:lang w:val="zh-CN"/>
        </w:rPr>
      </w:pPr>
      <w:r>
        <w:rPr>
          <w:rFonts w:hint="eastAsia" w:cs="仿宋"/>
          <w:lang w:val="zh-CN"/>
        </w:rPr>
        <w:t>《专项评价报告》《法律意见书》随《实施方案》报送，以供审阅。</w:t>
      </w:r>
    </w:p>
    <w:p>
      <w:pPr>
        <w:widowControl/>
        <w:spacing w:line="240" w:lineRule="auto"/>
        <w:ind w:firstLine="0" w:firstLineChars="0"/>
        <w:jc w:val="left"/>
        <w:rPr>
          <w:rFonts w:cs="仿宋"/>
          <w:lang w:val="zh-CN"/>
        </w:rPr>
      </w:pPr>
      <w:r>
        <w:rPr>
          <w:rFonts w:cs="仿宋"/>
          <w:lang w:val="zh-CN"/>
        </w:rPr>
        <w:br w:type="page"/>
      </w:r>
      <w:bookmarkEnd w:id="241"/>
    </w:p>
    <w:p>
      <w:pPr>
        <w:pStyle w:val="5"/>
        <w:rPr>
          <w:rFonts w:cs="仿宋"/>
        </w:rPr>
      </w:pPr>
      <w:bookmarkStart w:id="258" w:name="_Toc6539"/>
      <w:bookmarkStart w:id="259" w:name="_Toc26444"/>
      <w:bookmarkStart w:id="260" w:name="_Toc771"/>
      <w:bookmarkStart w:id="261" w:name="_Toc55468472"/>
      <w:bookmarkStart w:id="262" w:name="_Toc1579"/>
      <w:bookmarkStart w:id="263" w:name="_Toc28284732"/>
      <w:bookmarkStart w:id="264" w:name="_Toc8244"/>
      <w:bookmarkStart w:id="265" w:name="_Hlk55993319"/>
      <w:r>
        <w:rPr>
          <w:rFonts w:hint="eastAsia" w:cs="仿宋"/>
        </w:rPr>
        <w:t>五、项目融资计划</w:t>
      </w:r>
      <w:bookmarkEnd w:id="258"/>
      <w:bookmarkEnd w:id="259"/>
      <w:bookmarkEnd w:id="260"/>
      <w:bookmarkEnd w:id="261"/>
      <w:bookmarkEnd w:id="262"/>
      <w:bookmarkEnd w:id="263"/>
      <w:bookmarkEnd w:id="264"/>
    </w:p>
    <w:p>
      <w:pPr>
        <w:pStyle w:val="6"/>
      </w:pPr>
      <w:bookmarkStart w:id="266" w:name="_Toc5747"/>
      <w:bookmarkStart w:id="267" w:name="_Toc177"/>
      <w:bookmarkStart w:id="268" w:name="_Toc23846"/>
      <w:bookmarkStart w:id="269" w:name="_Toc522095823"/>
      <w:bookmarkStart w:id="270" w:name="_Toc521359882"/>
      <w:bookmarkStart w:id="271" w:name="_Toc55468473"/>
      <w:bookmarkStart w:id="272" w:name="_Toc24356"/>
      <w:bookmarkStart w:id="273" w:name="_Toc28284733"/>
      <w:bookmarkStart w:id="274" w:name="_Toc12542"/>
      <w:bookmarkStart w:id="275" w:name="_Toc522095589"/>
      <w:r>
        <w:rPr>
          <w:rFonts w:hint="eastAsia"/>
        </w:rPr>
        <w:t>（一）项目发行地方政府专项债券募集资金计划</w:t>
      </w:r>
      <w:bookmarkEnd w:id="266"/>
      <w:bookmarkEnd w:id="267"/>
      <w:bookmarkEnd w:id="268"/>
      <w:bookmarkEnd w:id="269"/>
      <w:bookmarkEnd w:id="270"/>
      <w:bookmarkEnd w:id="271"/>
      <w:bookmarkEnd w:id="272"/>
      <w:bookmarkEnd w:id="273"/>
      <w:bookmarkEnd w:id="274"/>
      <w:bookmarkEnd w:id="275"/>
    </w:p>
    <w:p>
      <w:pPr>
        <w:pStyle w:val="7"/>
      </w:pPr>
      <w:bookmarkStart w:id="276" w:name="_Toc5325"/>
      <w:bookmarkStart w:id="277" w:name="_Toc17515"/>
      <w:bookmarkStart w:id="278" w:name="_Toc28284734"/>
      <w:bookmarkStart w:id="279" w:name="_Toc522095590"/>
      <w:bookmarkStart w:id="280" w:name="_Toc11181"/>
      <w:bookmarkStart w:id="281" w:name="_Toc522095932"/>
      <w:bookmarkStart w:id="282" w:name="_Toc522095824"/>
      <w:bookmarkStart w:id="283" w:name="_Toc11873"/>
      <w:bookmarkStart w:id="284" w:name="_Toc26100"/>
      <w:r>
        <w:rPr>
          <w:rFonts w:hint="eastAsia"/>
        </w:rPr>
        <w:t>1.发行依据</w:t>
      </w:r>
      <w:bookmarkEnd w:id="276"/>
      <w:bookmarkEnd w:id="277"/>
      <w:bookmarkEnd w:id="278"/>
      <w:bookmarkEnd w:id="279"/>
      <w:bookmarkEnd w:id="280"/>
      <w:bookmarkEnd w:id="281"/>
      <w:bookmarkEnd w:id="282"/>
      <w:bookmarkEnd w:id="283"/>
      <w:bookmarkEnd w:id="284"/>
    </w:p>
    <w:p>
      <w:pPr>
        <w:ind w:firstLine="480"/>
      </w:pPr>
      <w:r>
        <w:rPr>
          <w:rFonts w:hint="eastAsia"/>
        </w:rPr>
        <w:t>（1）发行主体资格</w:t>
      </w:r>
    </w:p>
    <w:p>
      <w:pPr>
        <w:ind w:firstLine="480"/>
        <w:rPr>
          <w:lang w:val="zh-CN"/>
        </w:rPr>
      </w:pPr>
      <w:r>
        <w:rPr>
          <w:rFonts w:hint="eastAsia"/>
          <w:lang w:val="zh-CN"/>
        </w:rPr>
        <w:t>《中华人民共和国预算法》第三十五条规定，经国务院批准的省、自治区、直辖市的预算中必需的建设投资的部分资金，可以在国务院确定的限额内，通过发行地方政府债券举借债务的方式筹措。</w:t>
      </w:r>
    </w:p>
    <w:p>
      <w:pPr>
        <w:ind w:firstLine="480"/>
        <w:rPr>
          <w:lang w:val="zh-CN"/>
        </w:rPr>
      </w:pPr>
      <w:r>
        <w:rPr>
          <w:rFonts w:hint="eastAsia"/>
          <w:lang w:val="zh-CN"/>
        </w:rPr>
        <w:t>《地方政府专项债务预算管理办法》（财预〔2016〕155号）第四条规定，设区的市、自治州，县、自治县、不设区的市、市辖区政府确需发行专项债券的，由省、自治区、直辖市政府统一发行并转贷给市县级政府。</w:t>
      </w:r>
    </w:p>
    <w:p>
      <w:pPr>
        <w:ind w:firstLine="480"/>
      </w:pPr>
      <w:r>
        <w:rPr>
          <w:rFonts w:hint="eastAsia"/>
        </w:rPr>
        <w:t>（2）地方政府债务限额管理</w:t>
      </w:r>
    </w:p>
    <w:p>
      <w:pPr>
        <w:ind w:firstLine="480"/>
        <w:rPr>
          <w:lang w:val="zh-CN"/>
        </w:rPr>
      </w:pPr>
      <w:r>
        <w:rPr>
          <w:rFonts w:hint="eastAsia"/>
          <w:lang w:val="zh-CN"/>
        </w:rPr>
        <w:t>《中华人民共和国预算法》第三十五条规定，举借债务的规模，由国务院报全国人民代表大会或者全国人民代表大会常务委员会批准。</w:t>
      </w:r>
    </w:p>
    <w:p>
      <w:pPr>
        <w:ind w:firstLine="480"/>
        <w:rPr>
          <w:lang w:val="zh-CN"/>
        </w:rPr>
      </w:pPr>
      <w:r>
        <w:rPr>
          <w:rFonts w:hint="eastAsia"/>
          <w:lang w:val="zh-CN"/>
        </w:rPr>
        <w:t>《地方政府专项债务预算管理办法》（财预〔2016〕155号）第十条规定，财政部在全国人民代表大会或其常</w:t>
      </w:r>
      <w:r>
        <w:rPr>
          <w:rFonts w:hint="eastAsia"/>
        </w:rPr>
        <w:t>务</w:t>
      </w:r>
      <w:r>
        <w:rPr>
          <w:rFonts w:hint="eastAsia"/>
          <w:lang w:val="zh-CN"/>
        </w:rPr>
        <w:t>委员会批准的专项债务限额内，根据债务风险、财力状况等因素并统筹考虑国家调控政策、各地区公益性项目建设需求等，提出分地区专项债务限额及当年新增专项债务限额方案，报国务院批准后下达省级财政部门。</w:t>
      </w:r>
    </w:p>
    <w:p>
      <w:pPr>
        <w:ind w:firstLine="480"/>
        <w:rPr>
          <w:lang w:val="zh-CN"/>
        </w:rPr>
      </w:pPr>
      <w:r>
        <w:rPr>
          <w:rFonts w:hint="eastAsia"/>
          <w:lang w:val="zh-CN"/>
        </w:rPr>
        <w:t>《地方政府专项债务预算管理办法》（财预〔2016〕155号）第十一条规定，省级财政部门在财政部下达的本地区专项债务限额内，根据债务风险、财力状况等因素并统筹考虑本地区公益性项目建设需求等，提出省本级及所辖各市县当年专项债务限额方案，报省、自治区、直辖市政府批准后下达市县级财政部门。</w:t>
      </w:r>
    </w:p>
    <w:p>
      <w:pPr>
        <w:ind w:firstLine="480"/>
        <w:rPr>
          <w:lang w:val="zh-CN"/>
        </w:rPr>
      </w:pPr>
      <w:r>
        <w:rPr>
          <w:rFonts w:hint="eastAsia"/>
          <w:lang w:val="zh-CN"/>
        </w:rPr>
        <w:t>《财政部关于试点发展项目收益与融资自求平衡的地方政府专项债券品种的通知》（财预〔2017〕89号）规定，各地试点分类发行专项债券的规模，应当在国务院批准的专项债务限额内统筹安排，包括当年新增专项债务限额、上年末专项债务余额低于限额的部分。</w:t>
      </w:r>
    </w:p>
    <w:p>
      <w:pPr>
        <w:ind w:firstLine="480"/>
      </w:pPr>
      <w:r>
        <w:rPr>
          <w:rFonts w:hint="eastAsia"/>
        </w:rPr>
        <w:t>（3）地方政府债务预算管理</w:t>
      </w:r>
    </w:p>
    <w:p>
      <w:pPr>
        <w:ind w:firstLine="480"/>
        <w:rPr>
          <w:lang w:val="zh-CN"/>
        </w:rPr>
      </w:pPr>
      <w:r>
        <w:rPr>
          <w:rFonts w:hint="eastAsia"/>
          <w:lang w:val="zh-CN"/>
        </w:rPr>
        <w:t>《中华人民共和国预算法》第三十五条规定，省、自治区、直辖市依照国务院下达的限额举借的债务，列入本级预算调整方案，报本级人民代表大会常务委员会批准。</w:t>
      </w:r>
    </w:p>
    <w:p>
      <w:pPr>
        <w:ind w:firstLine="480"/>
        <w:rPr>
          <w:lang w:val="zh-CN"/>
        </w:rPr>
      </w:pPr>
      <w:r>
        <w:rPr>
          <w:rFonts w:hint="eastAsia"/>
          <w:lang w:val="zh-CN"/>
        </w:rPr>
        <w:t>《地方政府专项债务预算管理办法》（财预〔2016〕155号）第三条规定，专项债务收入、安排的支出、还本付息、发行费用纳入政府性基金预算管理。</w:t>
      </w:r>
    </w:p>
    <w:p>
      <w:pPr>
        <w:ind w:firstLine="480"/>
        <w:rPr>
          <w:lang w:val="zh-CN"/>
        </w:rPr>
      </w:pPr>
      <w:r>
        <w:rPr>
          <w:rFonts w:hint="eastAsia"/>
          <w:lang w:val="zh-CN"/>
        </w:rPr>
        <w:t>《地方政府专项债务预算管理办法》（财预〔2016〕155号）第十三条规定，增加举借专项债务收入，以下内容应当列入预算调整方案：（一）省、自治区、直辖市在新增专项债务限额内筹措的专项债券收入；（二）市县级政府从上级政府转贷的专项债务收入。</w:t>
      </w:r>
    </w:p>
    <w:p>
      <w:pPr>
        <w:ind w:firstLine="480"/>
        <w:rPr>
          <w:lang w:val="zh-CN"/>
        </w:rPr>
      </w:pPr>
      <w:r>
        <w:rPr>
          <w:rFonts w:hint="eastAsia"/>
          <w:lang w:val="zh-CN"/>
        </w:rPr>
        <w:t>《地方政府专项债务预算管理办法》（财预〔2016〕155号）第十八条规定，专项债务转贷下级政府的，财政部门应当在本级人民代表大会或其常务委员会批准后，及时将专项债务转贷的预算下达有关市县级财政部门。接受专项债务转贷的市县级政府在本级人民代表大会或其常务委员会批准后，应当及时与上级财政部门签订转贷协议。</w:t>
      </w:r>
    </w:p>
    <w:p>
      <w:pPr>
        <w:ind w:firstLine="480"/>
      </w:pPr>
      <w:r>
        <w:rPr>
          <w:rFonts w:hint="eastAsia"/>
        </w:rPr>
        <w:t>（4）地方政府债务应急处置机制</w:t>
      </w:r>
    </w:p>
    <w:p>
      <w:pPr>
        <w:ind w:firstLine="480"/>
        <w:rPr>
          <w:lang w:val="zh-CN"/>
        </w:rPr>
      </w:pPr>
      <w:r>
        <w:rPr>
          <w:rFonts w:hint="eastAsia"/>
          <w:lang w:val="zh-CN"/>
        </w:rPr>
        <w:t>《中华人民共和国预算法》第三十五条第五款规定，国务院建立地方政府债务风险评估和预警机制、应急处置机制以及责任追究制度。《国务院关于加强地方政府性债务管理的意见》（国发〔2014〕43号）第四（二）点“建立债务风险应急处置机制”规定，各级政府要制定应急处置预案，建立责任追究机制。</w:t>
      </w:r>
    </w:p>
    <w:p>
      <w:pPr>
        <w:ind w:firstLine="480"/>
        <w:rPr>
          <w:lang w:val="zh-CN"/>
        </w:rPr>
      </w:pPr>
      <w:r>
        <w:rPr>
          <w:rFonts w:hint="eastAsia"/>
          <w:lang w:val="zh-CN"/>
        </w:rPr>
        <w:t>按照国务院办公厅10月27日印发的《国务院办公厅关于印发地方政府性债务风险应急处置预案的通知》（国办函〔2016〕88号）第7.1点规定，县级以上地方各级人民政府要结合实际制定当地债务风险应急处置预案。</w:t>
      </w:r>
    </w:p>
    <w:p>
      <w:pPr>
        <w:pStyle w:val="7"/>
      </w:pPr>
      <w:bookmarkStart w:id="285" w:name="_Toc22753"/>
      <w:bookmarkStart w:id="286" w:name="_Toc19294"/>
      <w:bookmarkStart w:id="287" w:name="_Toc7572"/>
      <w:bookmarkStart w:id="288" w:name="_Toc26621"/>
      <w:bookmarkStart w:id="289" w:name="_Toc130"/>
      <w:r>
        <w:rPr>
          <w:rFonts w:hint="eastAsia"/>
        </w:rPr>
        <w:t>2.发行计划</w:t>
      </w:r>
      <w:bookmarkEnd w:id="285"/>
      <w:bookmarkEnd w:id="286"/>
      <w:bookmarkEnd w:id="287"/>
      <w:bookmarkEnd w:id="288"/>
      <w:bookmarkEnd w:id="289"/>
    </w:p>
    <w:p>
      <w:pPr>
        <w:ind w:firstLine="480"/>
        <w:rPr>
          <w:lang w:val="zh-CN"/>
        </w:rPr>
      </w:pPr>
      <w:bookmarkStart w:id="290" w:name="_Toc22844"/>
      <w:bookmarkStart w:id="291" w:name="_Toc12595"/>
      <w:bookmarkStart w:id="292" w:name="_Toc20219"/>
      <w:r>
        <w:rPr>
          <w:rFonts w:hint="eastAsia"/>
          <w:lang w:val="zh-CN"/>
        </w:rPr>
        <w:t>最终发行金额以省财政厅审定数据为准。</w:t>
      </w:r>
    </w:p>
    <w:p>
      <w:pPr>
        <w:pStyle w:val="7"/>
      </w:pPr>
      <w:bookmarkStart w:id="293" w:name="_Toc11"/>
      <w:bookmarkStart w:id="294" w:name="_Toc30263"/>
      <w:r>
        <w:rPr>
          <w:rFonts w:hint="eastAsia"/>
        </w:rPr>
        <w:t>3.发行场所</w:t>
      </w:r>
      <w:bookmarkEnd w:id="293"/>
      <w:bookmarkEnd w:id="294"/>
    </w:p>
    <w:p>
      <w:pPr>
        <w:ind w:firstLine="480"/>
      </w:pPr>
      <w:r>
        <w:rPr>
          <w:rFonts w:hint="eastAsia"/>
        </w:rPr>
        <w:t>本次专项债券拟通过全国银行间债券市场、证券交易所债券市场发行。若条件具备时也可在银行柜台债券市场发行。</w:t>
      </w:r>
    </w:p>
    <w:p>
      <w:pPr>
        <w:pStyle w:val="7"/>
      </w:pPr>
      <w:bookmarkStart w:id="295" w:name="_Toc1447"/>
      <w:bookmarkStart w:id="296" w:name="_Toc12268"/>
      <w:r>
        <w:rPr>
          <w:rFonts w:hint="eastAsia"/>
        </w:rPr>
        <w:t>4.品种和数量</w:t>
      </w:r>
      <w:bookmarkEnd w:id="290"/>
      <w:bookmarkEnd w:id="291"/>
      <w:bookmarkEnd w:id="292"/>
      <w:bookmarkEnd w:id="295"/>
      <w:bookmarkEnd w:id="296"/>
    </w:p>
    <w:p>
      <w:pPr>
        <w:ind w:firstLine="480"/>
        <w:rPr>
          <w:lang w:val="zh-CN"/>
        </w:rPr>
      </w:pPr>
      <w:r>
        <w:rPr>
          <w:rFonts w:hint="eastAsia"/>
          <w:lang w:val="zh-CN"/>
        </w:rPr>
        <w:t>计划发行记账式固定利率</w:t>
      </w:r>
      <w:r>
        <w:rPr>
          <w:rFonts w:hint="eastAsia"/>
        </w:rPr>
        <w:t>附</w:t>
      </w:r>
      <w:r>
        <w:rPr>
          <w:rFonts w:hint="eastAsia"/>
          <w:lang w:val="zh-CN"/>
        </w:rPr>
        <w:t>息债，具体以财政厅为准。</w:t>
      </w:r>
    </w:p>
    <w:p>
      <w:pPr>
        <w:pStyle w:val="7"/>
        <w:rPr>
          <w:rFonts w:cs="仿宋"/>
        </w:rPr>
      </w:pPr>
      <w:bookmarkStart w:id="297" w:name="_Toc26350968"/>
      <w:bookmarkStart w:id="298" w:name="_Toc10945"/>
      <w:bookmarkStart w:id="299" w:name="_Toc19493"/>
      <w:bookmarkStart w:id="300" w:name="_Toc12668"/>
      <w:bookmarkStart w:id="301" w:name="_Toc24634"/>
      <w:bookmarkStart w:id="302" w:name="_Toc1254"/>
      <w:bookmarkStart w:id="303" w:name="_Toc29981241"/>
      <w:r>
        <w:rPr>
          <w:rFonts w:hint="eastAsia" w:cs="仿宋"/>
        </w:rPr>
        <w:t>5.时间安排</w:t>
      </w:r>
      <w:bookmarkEnd w:id="297"/>
      <w:bookmarkEnd w:id="298"/>
      <w:bookmarkEnd w:id="299"/>
      <w:bookmarkEnd w:id="300"/>
      <w:bookmarkEnd w:id="301"/>
      <w:bookmarkEnd w:id="302"/>
      <w:bookmarkEnd w:id="303"/>
    </w:p>
    <w:p>
      <w:pPr>
        <w:ind w:firstLine="480"/>
        <w:rPr>
          <w:rFonts w:cs="仿宋"/>
          <w:lang w:val="zh-CN"/>
        </w:rPr>
      </w:pPr>
      <w:r>
        <w:rPr>
          <w:rFonts w:hint="eastAsia" w:cs="仿宋"/>
          <w:lang w:val="zh-CN"/>
        </w:rPr>
        <w:t>最终发行时间以省财政厅确定的时间为准。</w:t>
      </w:r>
    </w:p>
    <w:p>
      <w:pPr>
        <w:pStyle w:val="7"/>
      </w:pPr>
      <w:bookmarkStart w:id="304" w:name="_Toc25395"/>
      <w:bookmarkStart w:id="305" w:name="_Toc26350969"/>
      <w:bookmarkStart w:id="306" w:name="_Toc15374"/>
      <w:bookmarkStart w:id="307" w:name="_Toc28574"/>
      <w:bookmarkStart w:id="308" w:name="_Toc29981242"/>
      <w:bookmarkStart w:id="309" w:name="_Toc24672"/>
      <w:bookmarkStart w:id="310" w:name="_Toc9126"/>
      <w:r>
        <w:rPr>
          <w:rFonts w:hint="eastAsia"/>
        </w:rPr>
        <w:t>6.上市安排</w:t>
      </w:r>
      <w:bookmarkEnd w:id="304"/>
      <w:bookmarkEnd w:id="305"/>
      <w:bookmarkEnd w:id="306"/>
      <w:bookmarkEnd w:id="307"/>
      <w:bookmarkEnd w:id="308"/>
      <w:bookmarkEnd w:id="309"/>
      <w:bookmarkEnd w:id="310"/>
    </w:p>
    <w:p>
      <w:pPr>
        <w:ind w:firstLine="480"/>
        <w:rPr>
          <w:rFonts w:cs="仿宋"/>
          <w:lang w:val="zh-CN"/>
        </w:rPr>
      </w:pPr>
      <w:r>
        <w:rPr>
          <w:rFonts w:hint="eastAsia" w:cs="仿宋"/>
          <w:lang w:val="zh-CN"/>
        </w:rPr>
        <w:t>本期债券按照有关规定进行上市交易。</w:t>
      </w:r>
    </w:p>
    <w:p>
      <w:pPr>
        <w:pStyle w:val="7"/>
      </w:pPr>
      <w:bookmarkStart w:id="311" w:name="_Toc10828"/>
      <w:bookmarkStart w:id="312" w:name="_Toc9098"/>
      <w:bookmarkStart w:id="313" w:name="_Toc26350970"/>
      <w:bookmarkStart w:id="314" w:name="_Toc29436"/>
      <w:bookmarkStart w:id="315" w:name="_Toc24218"/>
      <w:bookmarkStart w:id="316" w:name="_Toc26116"/>
      <w:bookmarkStart w:id="317" w:name="_Toc29981243"/>
      <w:r>
        <w:rPr>
          <w:rFonts w:hint="eastAsia"/>
        </w:rPr>
        <w:t>7.兑付安排</w:t>
      </w:r>
      <w:bookmarkEnd w:id="311"/>
      <w:bookmarkEnd w:id="312"/>
      <w:bookmarkEnd w:id="313"/>
      <w:bookmarkEnd w:id="314"/>
      <w:bookmarkEnd w:id="315"/>
      <w:bookmarkEnd w:id="316"/>
      <w:bookmarkEnd w:id="317"/>
    </w:p>
    <w:p>
      <w:pPr>
        <w:ind w:firstLine="480"/>
        <w:rPr>
          <w:lang w:val="zh-CN"/>
        </w:rPr>
      </w:pPr>
      <w:r>
        <w:rPr>
          <w:rFonts w:hint="eastAsia"/>
          <w:lang w:val="zh-CN"/>
        </w:rPr>
        <w:t>利息按年支付，到期一次还本，本息兑付具体时间以省财政厅审定的最终发行安排为准。</w:t>
      </w:r>
    </w:p>
    <w:p>
      <w:pPr>
        <w:pStyle w:val="7"/>
      </w:pPr>
      <w:bookmarkStart w:id="318" w:name="_Toc26350971"/>
      <w:bookmarkStart w:id="319" w:name="_Toc32229"/>
      <w:bookmarkStart w:id="320" w:name="_Toc22659"/>
      <w:bookmarkStart w:id="321" w:name="_Toc25046"/>
      <w:bookmarkStart w:id="322" w:name="_Toc29981244"/>
      <w:bookmarkStart w:id="323" w:name="_Toc14336"/>
      <w:bookmarkStart w:id="324" w:name="_Toc17315"/>
      <w:r>
        <w:rPr>
          <w:rFonts w:hint="eastAsia"/>
        </w:rPr>
        <w:t>8.发行费</w:t>
      </w:r>
      <w:bookmarkEnd w:id="318"/>
      <w:bookmarkEnd w:id="319"/>
      <w:bookmarkEnd w:id="320"/>
      <w:bookmarkEnd w:id="321"/>
      <w:bookmarkEnd w:id="322"/>
      <w:bookmarkEnd w:id="323"/>
      <w:bookmarkEnd w:id="324"/>
    </w:p>
    <w:p>
      <w:pPr>
        <w:ind w:firstLine="480"/>
        <w:rPr>
          <w:rFonts w:cs="仿宋"/>
          <w:lang w:val="zh-CN"/>
        </w:rPr>
      </w:pPr>
      <w:r>
        <w:rPr>
          <w:rFonts w:hint="eastAsia" w:cs="仿宋"/>
          <w:lang w:val="zh-CN"/>
        </w:rPr>
        <w:t>债券发行费为债券发行金额的0.10%预估，金额为</w:t>
      </w:r>
      <w:r>
        <w:rPr>
          <w:rFonts w:hint="eastAsia" w:cs="仿宋"/>
          <w:lang w:val="en-US" w:eastAsia="zh-CN"/>
        </w:rPr>
        <w:t>8</w:t>
      </w:r>
      <w:r>
        <w:rPr>
          <w:rFonts w:hint="eastAsia" w:cs="仿宋"/>
        </w:rPr>
        <w:t>.</w:t>
      </w:r>
      <w:r>
        <w:rPr>
          <w:rFonts w:hint="eastAsia" w:cs="仿宋"/>
          <w:lang w:val="en-US" w:eastAsia="zh-CN"/>
        </w:rPr>
        <w:t>0</w:t>
      </w:r>
      <w:r>
        <w:rPr>
          <w:rFonts w:hint="eastAsia" w:cs="仿宋"/>
        </w:rPr>
        <w:t>0</w:t>
      </w:r>
      <w:r>
        <w:rPr>
          <w:rFonts w:hint="eastAsia" w:cs="仿宋"/>
          <w:lang w:val="zh-CN"/>
        </w:rPr>
        <w:t>万元。债券管理费以实际发行的承销协议为准。</w:t>
      </w:r>
    </w:p>
    <w:p>
      <w:pPr>
        <w:pStyle w:val="7"/>
      </w:pPr>
      <w:bookmarkStart w:id="325" w:name="_Toc3976"/>
      <w:bookmarkStart w:id="326" w:name="_Toc29981245"/>
      <w:bookmarkStart w:id="327" w:name="_Toc32162"/>
      <w:bookmarkStart w:id="328" w:name="_Toc14432"/>
      <w:bookmarkStart w:id="329" w:name="_Toc26350972"/>
      <w:bookmarkStart w:id="330" w:name="_Toc765"/>
      <w:bookmarkStart w:id="331" w:name="_Toc2388"/>
      <w:r>
        <w:rPr>
          <w:rFonts w:hint="eastAsia"/>
        </w:rPr>
        <w:t>9.招投标</w:t>
      </w:r>
      <w:bookmarkEnd w:id="325"/>
      <w:bookmarkEnd w:id="326"/>
      <w:bookmarkEnd w:id="327"/>
      <w:bookmarkEnd w:id="328"/>
      <w:bookmarkEnd w:id="329"/>
      <w:bookmarkEnd w:id="330"/>
      <w:bookmarkEnd w:id="331"/>
    </w:p>
    <w:p>
      <w:pPr>
        <w:ind w:firstLine="480"/>
        <w:rPr>
          <w:rFonts w:cs="仿宋"/>
          <w:lang w:val="zh-CN"/>
        </w:rPr>
      </w:pPr>
      <w:r>
        <w:rPr>
          <w:rFonts w:hint="eastAsia" w:cs="仿宋"/>
          <w:lang w:val="zh-CN"/>
        </w:rPr>
        <w:t>以省财政厅确定的招投标安排为准。</w:t>
      </w:r>
    </w:p>
    <w:p>
      <w:pPr>
        <w:pStyle w:val="7"/>
      </w:pPr>
      <w:bookmarkStart w:id="332" w:name="_Toc29981246"/>
      <w:bookmarkStart w:id="333" w:name="_Toc23938"/>
      <w:bookmarkStart w:id="334" w:name="_Toc26350973"/>
      <w:bookmarkStart w:id="335" w:name="_Toc15981"/>
      <w:bookmarkStart w:id="336" w:name="_Toc16000"/>
      <w:bookmarkStart w:id="337" w:name="_Toc871"/>
      <w:bookmarkStart w:id="338" w:name="_Toc22457"/>
      <w:r>
        <w:rPr>
          <w:rFonts w:hint="eastAsia"/>
        </w:rPr>
        <w:t>10.分销</w:t>
      </w:r>
      <w:bookmarkEnd w:id="332"/>
      <w:bookmarkEnd w:id="333"/>
      <w:bookmarkEnd w:id="334"/>
      <w:bookmarkEnd w:id="335"/>
      <w:bookmarkEnd w:id="336"/>
      <w:bookmarkEnd w:id="337"/>
      <w:bookmarkEnd w:id="338"/>
    </w:p>
    <w:p>
      <w:pPr>
        <w:ind w:firstLine="480"/>
        <w:rPr>
          <w:rFonts w:cs="仿宋"/>
          <w:lang w:val="zh-CN"/>
        </w:rPr>
      </w:pPr>
      <w:r>
        <w:rPr>
          <w:rFonts w:hint="eastAsia" w:cs="仿宋"/>
          <w:lang w:val="zh-CN"/>
        </w:rPr>
        <w:t>以省财政厅确定的分销方式为准。</w:t>
      </w:r>
    </w:p>
    <w:p>
      <w:pPr>
        <w:pStyle w:val="7"/>
      </w:pPr>
      <w:bookmarkStart w:id="339" w:name="_Toc27792"/>
      <w:bookmarkStart w:id="340" w:name="_Toc26394"/>
      <w:bookmarkStart w:id="341" w:name="_Toc2871"/>
      <w:bookmarkStart w:id="342" w:name="_Toc26350974"/>
      <w:bookmarkStart w:id="343" w:name="_Toc29981247"/>
      <w:bookmarkStart w:id="344" w:name="_Toc7009"/>
      <w:bookmarkStart w:id="345" w:name="_Toc28044"/>
      <w:r>
        <w:rPr>
          <w:rFonts w:hint="eastAsia"/>
        </w:rPr>
        <w:t>11.发行款缴纳</w:t>
      </w:r>
      <w:bookmarkEnd w:id="339"/>
      <w:bookmarkEnd w:id="340"/>
      <w:bookmarkEnd w:id="341"/>
      <w:bookmarkEnd w:id="342"/>
      <w:bookmarkEnd w:id="343"/>
      <w:bookmarkEnd w:id="344"/>
      <w:bookmarkEnd w:id="345"/>
    </w:p>
    <w:p>
      <w:pPr>
        <w:ind w:firstLine="480"/>
        <w:rPr>
          <w:rFonts w:cs="仿宋"/>
          <w:lang w:val="zh-CN"/>
        </w:rPr>
      </w:pPr>
      <w:r>
        <w:rPr>
          <w:rFonts w:hint="eastAsia" w:cs="仿宋"/>
          <w:lang w:val="zh-CN"/>
        </w:rPr>
        <w:t>以省财政厅确定的发行款缴纳方式为准。</w:t>
      </w:r>
    </w:p>
    <w:p>
      <w:pPr>
        <w:pStyle w:val="6"/>
      </w:pPr>
      <w:bookmarkStart w:id="346" w:name="_Toc55468474"/>
      <w:bookmarkStart w:id="347" w:name="_Toc29981248"/>
      <w:bookmarkStart w:id="348" w:name="_Toc23934"/>
      <w:bookmarkStart w:id="349" w:name="_Toc15766"/>
      <w:bookmarkStart w:id="350" w:name="_Toc26350975"/>
      <w:bookmarkStart w:id="351" w:name="_Toc32357"/>
      <w:bookmarkStart w:id="352" w:name="_Toc29981"/>
      <w:bookmarkStart w:id="353" w:name="_Toc622"/>
      <w:r>
        <w:rPr>
          <w:rFonts w:hint="eastAsia"/>
        </w:rPr>
        <w:t>（二）专项债券投资者保护措施</w:t>
      </w:r>
      <w:bookmarkEnd w:id="346"/>
      <w:bookmarkEnd w:id="347"/>
      <w:bookmarkEnd w:id="348"/>
      <w:bookmarkEnd w:id="349"/>
      <w:bookmarkEnd w:id="350"/>
      <w:bookmarkEnd w:id="351"/>
      <w:bookmarkEnd w:id="352"/>
      <w:bookmarkEnd w:id="353"/>
    </w:p>
    <w:p>
      <w:pPr>
        <w:ind w:firstLine="480"/>
        <w:rPr>
          <w:rFonts w:cs="仿宋"/>
          <w:lang w:val="zh-CN"/>
        </w:rPr>
      </w:pPr>
      <w:r>
        <w:rPr>
          <w:rFonts w:hint="eastAsia" w:cs="仿宋"/>
          <w:lang w:val="zh-CN"/>
        </w:rPr>
        <w:t>1.发行人和主承销商应在债券发行前，按要求对项目实施方案、专项债券项目合同、项目入库情况、建设运营情况及本期债券可能存在的风险等事项进行充分披露。</w:t>
      </w:r>
    </w:p>
    <w:p>
      <w:pPr>
        <w:ind w:firstLine="480"/>
        <w:rPr>
          <w:rFonts w:cs="仿宋"/>
          <w:lang w:val="zh-CN"/>
        </w:rPr>
      </w:pPr>
      <w:r>
        <w:rPr>
          <w:rFonts w:hint="eastAsia" w:cs="仿宋"/>
          <w:lang w:val="zh-CN"/>
        </w:rPr>
        <w:t>2.发行人和主承销商应在债券存续期内，定期在中国债券信息网等相关媒体上公告或向投资者通报项目建设进度、项目合同履约情况、运营服务绩效评价结果等信息。</w:t>
      </w:r>
    </w:p>
    <w:p>
      <w:pPr>
        <w:ind w:firstLine="480"/>
        <w:rPr>
          <w:rFonts w:cs="仿宋"/>
          <w:lang w:val="zh-CN"/>
        </w:rPr>
      </w:pPr>
      <w:r>
        <w:rPr>
          <w:rFonts w:hint="eastAsia" w:cs="仿宋"/>
          <w:lang w:val="zh-CN"/>
        </w:rPr>
        <w:t>3.债券存续期内，项目建设、运营情况发生重大变化或发行人发生对投资者有重大影响的事项，应按照规定或约定履行程序，并及时公告或通报。</w:t>
      </w:r>
    </w:p>
    <w:p>
      <w:pPr>
        <w:ind w:firstLine="480"/>
        <w:rPr>
          <w:lang w:val="zh-CN"/>
        </w:rPr>
      </w:pPr>
      <w:r>
        <w:rPr>
          <w:rFonts w:hint="eastAsia"/>
          <w:lang w:val="zh-CN"/>
        </w:rPr>
        <w:t>4.制定因项目取得的政府性基金或专项收入暂时难以实现，不能偿还到期债券本金时的应急处理预案。</w:t>
      </w:r>
    </w:p>
    <w:p>
      <w:pPr>
        <w:widowControl/>
        <w:spacing w:line="240" w:lineRule="auto"/>
        <w:ind w:firstLine="0" w:firstLineChars="0"/>
        <w:jc w:val="left"/>
        <w:rPr>
          <w:lang w:val="zh-CN"/>
        </w:rPr>
      </w:pPr>
      <w:r>
        <w:rPr>
          <w:lang w:val="zh-CN"/>
        </w:rPr>
        <w:br w:type="page"/>
      </w:r>
    </w:p>
    <w:p>
      <w:pPr>
        <w:pStyle w:val="5"/>
      </w:pPr>
      <w:bookmarkStart w:id="354" w:name="_Toc55468475"/>
      <w:bookmarkStart w:id="355" w:name="_Toc4223"/>
      <w:bookmarkStart w:id="356" w:name="_Toc26350976"/>
      <w:bookmarkStart w:id="357" w:name="_Toc29017"/>
      <w:bookmarkStart w:id="358" w:name="_Toc2860"/>
      <w:bookmarkStart w:id="359" w:name="_Toc11669"/>
      <w:bookmarkStart w:id="360" w:name="_Toc29981249"/>
      <w:bookmarkStart w:id="361" w:name="_Toc21284"/>
      <w:bookmarkStart w:id="362" w:name="_Hlk55566816"/>
      <w:r>
        <w:rPr>
          <w:rFonts w:hint="eastAsia"/>
        </w:rPr>
        <w:t>六、潜在影响项目收益和融资平衡结果的风险评估</w:t>
      </w:r>
      <w:bookmarkEnd w:id="354"/>
      <w:bookmarkEnd w:id="355"/>
      <w:bookmarkEnd w:id="356"/>
      <w:bookmarkEnd w:id="357"/>
      <w:bookmarkEnd w:id="358"/>
      <w:bookmarkEnd w:id="359"/>
      <w:bookmarkEnd w:id="360"/>
      <w:bookmarkEnd w:id="361"/>
    </w:p>
    <w:p>
      <w:pPr>
        <w:pStyle w:val="6"/>
      </w:pPr>
      <w:bookmarkStart w:id="363" w:name="_Toc27920"/>
      <w:bookmarkStart w:id="364" w:name="_Toc29981250"/>
      <w:bookmarkStart w:id="365" w:name="_Toc24399"/>
      <w:bookmarkStart w:id="366" w:name="_Toc26350977"/>
      <w:bookmarkStart w:id="367" w:name="_Toc75"/>
      <w:bookmarkStart w:id="368" w:name="_Toc30780"/>
      <w:bookmarkStart w:id="369" w:name="_Toc253"/>
      <w:bookmarkStart w:id="370" w:name="_Toc55468476"/>
      <w:r>
        <w:rPr>
          <w:rFonts w:hint="eastAsia"/>
        </w:rPr>
        <w:t>（一）影响项目施工进度或正常运营的风险及控制措施</w:t>
      </w:r>
      <w:bookmarkEnd w:id="363"/>
      <w:bookmarkEnd w:id="364"/>
      <w:bookmarkEnd w:id="365"/>
      <w:bookmarkEnd w:id="366"/>
      <w:bookmarkEnd w:id="367"/>
      <w:bookmarkEnd w:id="368"/>
      <w:bookmarkEnd w:id="369"/>
      <w:bookmarkEnd w:id="370"/>
    </w:p>
    <w:p>
      <w:pPr>
        <w:pStyle w:val="7"/>
      </w:pPr>
      <w:bookmarkStart w:id="371" w:name="_Toc2613"/>
      <w:bookmarkStart w:id="372" w:name="_Toc29981251"/>
      <w:bookmarkStart w:id="373" w:name="_Toc30970"/>
      <w:bookmarkStart w:id="374" w:name="_Toc26350978"/>
      <w:bookmarkStart w:id="375" w:name="_Toc4546"/>
      <w:bookmarkStart w:id="376" w:name="_Toc17617"/>
      <w:bookmarkStart w:id="377" w:name="_Toc12908"/>
      <w:r>
        <w:rPr>
          <w:rFonts w:hint="eastAsia"/>
        </w:rPr>
        <w:t>1.自然环境变化等不可抗力风险</w:t>
      </w:r>
      <w:bookmarkEnd w:id="371"/>
      <w:bookmarkEnd w:id="372"/>
      <w:bookmarkEnd w:id="373"/>
      <w:bookmarkEnd w:id="374"/>
      <w:bookmarkEnd w:id="375"/>
      <w:bookmarkEnd w:id="376"/>
      <w:bookmarkEnd w:id="377"/>
    </w:p>
    <w:p>
      <w:pPr>
        <w:ind w:firstLine="480"/>
        <w:rPr>
          <w:lang w:val="zh-CN"/>
        </w:rPr>
      </w:pPr>
      <w:r>
        <w:rPr>
          <w:rFonts w:hint="eastAsia"/>
          <w:lang w:val="zh-CN"/>
        </w:rPr>
        <w:t>暴雨、洪水、泥石流、地震等自然灾害以及突发性公共卫生事件等不可抗力因素，可能会对业主单位的财产、人员造成损害，影响业主单位的经营和项目的正常实施进度。</w:t>
      </w:r>
    </w:p>
    <w:p>
      <w:pPr>
        <w:ind w:firstLine="480"/>
      </w:pPr>
      <w:r>
        <w:rPr>
          <w:rFonts w:hint="eastAsia"/>
          <w:lang w:val="zh-CN"/>
        </w:rPr>
        <w:t>控制措施：自然风险的发生具有随机性和不可预见性，属于不可抗力的范畴。为规避自然风险和控制损失，对相关地块所处自然环境进行充分的可行性论证，选择地质条件好、自然条件好的地块，减少不良地质灾害和外界因素对项目的影响。</w:t>
      </w:r>
    </w:p>
    <w:p>
      <w:pPr>
        <w:pStyle w:val="7"/>
      </w:pPr>
      <w:bookmarkStart w:id="378" w:name="_Toc18541"/>
      <w:bookmarkStart w:id="379" w:name="_Toc3975"/>
      <w:bookmarkStart w:id="380" w:name="_Toc705"/>
      <w:bookmarkStart w:id="381" w:name="_Toc28223"/>
      <w:bookmarkStart w:id="382" w:name="_Toc29981252"/>
      <w:bookmarkStart w:id="383" w:name="_Toc30493"/>
      <w:bookmarkStart w:id="384" w:name="_Toc26350979"/>
      <w:r>
        <w:rPr>
          <w:rFonts w:hint="eastAsia"/>
        </w:rPr>
        <w:t>2.来源于施工方的风险因素</w:t>
      </w:r>
      <w:bookmarkEnd w:id="378"/>
      <w:bookmarkEnd w:id="379"/>
      <w:bookmarkEnd w:id="380"/>
      <w:bookmarkEnd w:id="381"/>
      <w:bookmarkEnd w:id="382"/>
      <w:bookmarkEnd w:id="383"/>
      <w:bookmarkEnd w:id="384"/>
    </w:p>
    <w:p>
      <w:pPr>
        <w:ind w:firstLine="480"/>
        <w:rPr>
          <w:lang w:val="zh-CN"/>
        </w:rPr>
      </w:pPr>
      <w:r>
        <w:rPr>
          <w:rFonts w:hint="eastAsia"/>
          <w:lang w:val="zh-CN"/>
        </w:rPr>
        <w:t>施工方因为工程地质条件、水文地质条件发生重大变化，或者对实施条件估计不足，或者受限于施工技术和项目管理能力，导致工程量增加、投资增加、工期拖长的风险。</w:t>
      </w:r>
    </w:p>
    <w:p>
      <w:pPr>
        <w:ind w:firstLine="480"/>
        <w:rPr>
          <w:lang w:val="zh-CN"/>
        </w:rPr>
      </w:pPr>
      <w:r>
        <w:rPr>
          <w:rFonts w:hint="eastAsia"/>
          <w:lang w:val="zh-CN"/>
        </w:rPr>
        <w:t>控制措施：业主单位严格选取有相应资质、业绩良好、经验丰富的施工单位；指派资历丰富人员担任项目负责人和现场监督人员；在项目实施前和实施过程中与施工单位充分沟通，对施工进度计划进行编制、执行并及时调整，确保施工单位重视施工进度计划，保障项目的顺利进行。</w:t>
      </w:r>
    </w:p>
    <w:p>
      <w:pPr>
        <w:pStyle w:val="7"/>
      </w:pPr>
      <w:bookmarkStart w:id="385" w:name="_Toc29981253"/>
      <w:bookmarkStart w:id="386" w:name="_Toc26350980"/>
      <w:bookmarkStart w:id="387" w:name="_Toc14768"/>
      <w:bookmarkStart w:id="388" w:name="_Toc7385"/>
      <w:bookmarkStart w:id="389" w:name="_Toc31315"/>
      <w:bookmarkStart w:id="390" w:name="_Toc19009"/>
      <w:bookmarkStart w:id="391" w:name="_Toc15393"/>
      <w:r>
        <w:rPr>
          <w:rFonts w:hint="eastAsia"/>
        </w:rPr>
        <w:t>3.来源于设计单位的风险因素</w:t>
      </w:r>
      <w:bookmarkEnd w:id="385"/>
      <w:bookmarkEnd w:id="386"/>
      <w:bookmarkEnd w:id="387"/>
      <w:bookmarkEnd w:id="388"/>
      <w:bookmarkEnd w:id="389"/>
      <w:bookmarkEnd w:id="390"/>
      <w:bookmarkEnd w:id="391"/>
    </w:p>
    <w:p>
      <w:pPr>
        <w:ind w:firstLine="480"/>
        <w:rPr>
          <w:lang w:val="zh-CN"/>
        </w:rPr>
      </w:pPr>
      <w:r>
        <w:rPr>
          <w:rFonts w:hint="eastAsia"/>
          <w:lang w:val="zh-CN"/>
        </w:rPr>
        <w:t>设计单位不合理的设计方案、粗糙的设计质量或者频繁的设计变更，会对项目实施的工程质量、工程进度造成影响，甚至导致责任事故。</w:t>
      </w:r>
    </w:p>
    <w:p>
      <w:pPr>
        <w:ind w:firstLine="480"/>
        <w:rPr>
          <w:lang w:val="zh-CN"/>
        </w:rPr>
      </w:pPr>
      <w:r>
        <w:rPr>
          <w:rFonts w:hint="eastAsia"/>
          <w:lang w:val="zh-CN"/>
        </w:rPr>
        <w:t>控制措施：严格控制设计流程，确保所涉及事项不低于国家标准、行业标准或其他质量控制标准；设计方案的专家评审制度，确保声誉良好和具有责任心的第三方单位/个人对设计方案的评估过关；实施设计验证、设计确认和设计更改的过程控制，保证设计质量。</w:t>
      </w:r>
    </w:p>
    <w:p>
      <w:pPr>
        <w:pStyle w:val="7"/>
      </w:pPr>
      <w:bookmarkStart w:id="392" w:name="_Toc10396"/>
      <w:bookmarkStart w:id="393" w:name="_Toc22111"/>
      <w:bookmarkStart w:id="394" w:name="_Toc26693"/>
      <w:bookmarkStart w:id="395" w:name="_Toc29981254"/>
      <w:bookmarkStart w:id="396" w:name="_Toc26350981"/>
      <w:bookmarkStart w:id="397" w:name="_Toc22002"/>
      <w:bookmarkStart w:id="398" w:name="_Toc9838"/>
      <w:r>
        <w:rPr>
          <w:rFonts w:hint="eastAsia"/>
        </w:rPr>
        <w:t>4.来源于供应商的风险因素</w:t>
      </w:r>
      <w:bookmarkEnd w:id="392"/>
      <w:bookmarkEnd w:id="393"/>
      <w:bookmarkEnd w:id="394"/>
      <w:bookmarkEnd w:id="395"/>
      <w:bookmarkEnd w:id="396"/>
      <w:bookmarkEnd w:id="397"/>
      <w:bookmarkEnd w:id="398"/>
    </w:p>
    <w:p>
      <w:pPr>
        <w:ind w:firstLine="480"/>
        <w:rPr>
          <w:lang w:val="zh-CN"/>
        </w:rPr>
      </w:pPr>
      <w:r>
        <w:rPr>
          <w:rFonts w:hint="eastAsia"/>
          <w:lang w:val="zh-CN"/>
        </w:rPr>
        <w:t>来源于供应商的风险主要表现为供应商不按时交付货物/服务以及瑕疵履行的行为。供应商在资信或是能力存在不足或是失误，都将会导致相关货物/服务在交付时间上不满足预期要求，或是出现质量不合格的问题。</w:t>
      </w:r>
    </w:p>
    <w:p>
      <w:pPr>
        <w:ind w:firstLine="480"/>
        <w:rPr>
          <w:lang w:val="zh-CN"/>
        </w:rPr>
      </w:pPr>
      <w:r>
        <w:rPr>
          <w:rFonts w:hint="eastAsia"/>
          <w:lang w:val="zh-CN"/>
        </w:rPr>
        <w:t>控制措施：组织政府采购时，对供应商的资质、商业信誉和财务会计制度进行严格审查，并且通过增加供应商违约成本和保证金制度来降低风险；与供应商建立了长期稳定合作关系，保证交付货物的充足性和交付服务的及时性；形成供应商优胜劣汰的选择机制，激励供应商诚信服务；拓宽供应渠道，做好应急备选方案，保证项目正常实施进度。</w:t>
      </w:r>
    </w:p>
    <w:p>
      <w:pPr>
        <w:pStyle w:val="7"/>
      </w:pPr>
      <w:bookmarkStart w:id="399" w:name="_Toc5214"/>
      <w:bookmarkStart w:id="400" w:name="_Toc19317"/>
      <w:bookmarkStart w:id="401" w:name="_Toc26350982"/>
      <w:bookmarkStart w:id="402" w:name="_Toc5091"/>
      <w:bookmarkStart w:id="403" w:name="_Toc29981255"/>
      <w:bookmarkStart w:id="404" w:name="_Toc774"/>
      <w:bookmarkStart w:id="405" w:name="_Toc21171"/>
      <w:r>
        <w:rPr>
          <w:rFonts w:hint="eastAsia"/>
        </w:rPr>
        <w:t>5.资金落实风险</w:t>
      </w:r>
      <w:bookmarkEnd w:id="399"/>
      <w:bookmarkEnd w:id="400"/>
      <w:bookmarkEnd w:id="401"/>
      <w:bookmarkEnd w:id="402"/>
      <w:bookmarkEnd w:id="403"/>
      <w:bookmarkEnd w:id="404"/>
      <w:bookmarkEnd w:id="405"/>
    </w:p>
    <w:p>
      <w:pPr>
        <w:ind w:firstLine="480"/>
        <w:rPr>
          <w:lang w:val="zh-CN"/>
        </w:rPr>
      </w:pPr>
      <w:r>
        <w:rPr>
          <w:rFonts w:hint="eastAsia"/>
        </w:rPr>
        <w:t>该</w:t>
      </w:r>
      <w:r>
        <w:rPr>
          <w:rFonts w:hint="eastAsia"/>
          <w:lang w:val="zh-CN"/>
        </w:rPr>
        <w:t>项目整体实施期间较长，资金需求量大，回款周期长。资金是否按时到位是确保项目的建设能够顺利实施的基础。资金短缺或者营运资金不足直接影响到项目的预期进度。</w:t>
      </w:r>
    </w:p>
    <w:p>
      <w:pPr>
        <w:ind w:firstLine="480"/>
        <w:rPr>
          <w:lang w:val="zh-CN"/>
        </w:rPr>
      </w:pPr>
      <w:r>
        <w:rPr>
          <w:rFonts w:hint="eastAsia"/>
          <w:lang w:val="zh-CN"/>
        </w:rPr>
        <w:t>控制措施：在充分掌握政策环境、宏观经济形势、利率变动情况后，结合各融资方式的条件、期限、筹资难易程度、风险大小，根据项目资金需求和项目进展情况，合法合规拓宽融资渠道。当地政府和业主单位坚决贯彻关于资本金的相关规定，保证资本金足额按时到位。</w:t>
      </w:r>
    </w:p>
    <w:p>
      <w:pPr>
        <w:pStyle w:val="7"/>
      </w:pPr>
      <w:bookmarkStart w:id="406" w:name="_Toc15168"/>
      <w:bookmarkStart w:id="407" w:name="_Toc30256"/>
      <w:bookmarkStart w:id="408" w:name="_Toc9142"/>
      <w:bookmarkStart w:id="409" w:name="_Toc22004"/>
      <w:bookmarkStart w:id="410" w:name="_Toc26350983"/>
      <w:bookmarkStart w:id="411" w:name="_Toc29981256"/>
      <w:bookmarkStart w:id="412" w:name="_Toc2548"/>
      <w:r>
        <w:rPr>
          <w:rFonts w:hint="eastAsia"/>
        </w:rPr>
        <w:t>6.工程事故风险</w:t>
      </w:r>
      <w:bookmarkEnd w:id="406"/>
      <w:bookmarkEnd w:id="407"/>
      <w:bookmarkEnd w:id="408"/>
      <w:bookmarkEnd w:id="409"/>
      <w:bookmarkEnd w:id="410"/>
      <w:bookmarkEnd w:id="411"/>
      <w:bookmarkEnd w:id="412"/>
    </w:p>
    <w:p>
      <w:pPr>
        <w:ind w:firstLine="480"/>
        <w:rPr>
          <w:lang w:val="zh-CN"/>
        </w:rPr>
      </w:pPr>
      <w:r>
        <w:rPr>
          <w:rFonts w:hint="eastAsia"/>
          <w:lang w:val="zh-CN"/>
        </w:rPr>
        <w:t>项目实施过程中的工程机械操作和工作环境有一定危险性。如果安全管理某个环节发生疏忽，或人员操作不当，或物品保管不当，或自然灾害等原因，均可能发生安全事故，影响实施进度并可能造成较大的经济损失和社会影响。</w:t>
      </w:r>
    </w:p>
    <w:p>
      <w:pPr>
        <w:ind w:firstLine="480"/>
        <w:rPr>
          <w:lang w:val="zh-CN"/>
        </w:rPr>
      </w:pPr>
      <w:r>
        <w:rPr>
          <w:rFonts w:hint="eastAsia"/>
          <w:lang w:val="zh-CN"/>
        </w:rPr>
        <w:t>控制措施：做好现场的安全管理工作，防范各类安全事故的发生。加强对工程和人员安全防护措施，确保实施人员的人身安全以及机械设备的安全。业主单位加强内部管理，实行岗前和继续培训，提高职工的安全意识，将安全管理落实到细节。</w:t>
      </w:r>
    </w:p>
    <w:p>
      <w:pPr>
        <w:pStyle w:val="6"/>
      </w:pPr>
      <w:bookmarkStart w:id="413" w:name="_Toc22834"/>
      <w:bookmarkStart w:id="414" w:name="_Toc29981257"/>
      <w:bookmarkStart w:id="415" w:name="_Toc28059"/>
      <w:bookmarkStart w:id="416" w:name="_Toc55468477"/>
      <w:bookmarkStart w:id="417" w:name="_Toc32578"/>
      <w:bookmarkStart w:id="418" w:name="_Toc26350984"/>
      <w:bookmarkStart w:id="419" w:name="_Toc24328"/>
      <w:bookmarkStart w:id="420" w:name="_Toc31786"/>
      <w:r>
        <w:rPr>
          <w:rFonts w:hint="eastAsia"/>
        </w:rPr>
        <w:t>（二）影响项目收益的风险及控制措施</w:t>
      </w:r>
      <w:bookmarkEnd w:id="413"/>
      <w:bookmarkEnd w:id="414"/>
      <w:bookmarkEnd w:id="415"/>
      <w:bookmarkEnd w:id="416"/>
      <w:bookmarkEnd w:id="417"/>
      <w:bookmarkEnd w:id="418"/>
      <w:bookmarkEnd w:id="419"/>
      <w:bookmarkEnd w:id="420"/>
    </w:p>
    <w:p>
      <w:pPr>
        <w:pStyle w:val="7"/>
      </w:pPr>
      <w:bookmarkStart w:id="421" w:name="_Toc784"/>
      <w:bookmarkStart w:id="422" w:name="_Toc837"/>
      <w:bookmarkStart w:id="423" w:name="_Toc15494"/>
      <w:bookmarkStart w:id="424" w:name="_Toc29981258"/>
      <w:bookmarkStart w:id="425" w:name="_Toc26350985"/>
      <w:bookmarkStart w:id="426" w:name="_Toc20715"/>
      <w:bookmarkStart w:id="427" w:name="_Toc21891"/>
      <w:r>
        <w:rPr>
          <w:rFonts w:hint="eastAsia"/>
        </w:rPr>
        <w:t>1.经营风险</w:t>
      </w:r>
      <w:bookmarkEnd w:id="421"/>
      <w:bookmarkEnd w:id="422"/>
      <w:bookmarkEnd w:id="423"/>
      <w:bookmarkEnd w:id="424"/>
      <w:bookmarkEnd w:id="425"/>
      <w:bookmarkEnd w:id="426"/>
      <w:bookmarkEnd w:id="427"/>
    </w:p>
    <w:p>
      <w:pPr>
        <w:ind w:firstLine="480"/>
        <w:rPr>
          <w:lang w:val="zh-CN"/>
        </w:rPr>
      </w:pPr>
      <w:r>
        <w:rPr>
          <w:rFonts w:hint="eastAsia"/>
          <w:lang w:val="zh-CN"/>
        </w:rPr>
        <w:t>经营风险是指项目实施过程中，受市场发展运行状况、经营决策失误、经营管理不善、管理效率低下、政策环境变化的影响，可能持续经营出现困难。</w:t>
      </w:r>
    </w:p>
    <w:p>
      <w:pPr>
        <w:ind w:firstLine="480"/>
        <w:rPr>
          <w:lang w:val="zh-CN"/>
        </w:rPr>
      </w:pPr>
      <w:r>
        <w:rPr>
          <w:rFonts w:hint="eastAsia"/>
          <w:lang w:val="zh-CN"/>
        </w:rPr>
        <w:t>控制措施：合理设计业主单位的管理模式、选择适当的管理者和加强团队建设是规避经营风险的重要措施。当地相关政府部门及时沟通项目情况，密切关注业主单位的经营状况，实行全面的跟踪管理，要求出现经营风险及时上报，及时处置。</w:t>
      </w:r>
    </w:p>
    <w:p>
      <w:pPr>
        <w:pStyle w:val="7"/>
      </w:pPr>
      <w:bookmarkStart w:id="428" w:name="_Toc6421"/>
      <w:bookmarkStart w:id="429" w:name="_Toc30784"/>
      <w:bookmarkStart w:id="430" w:name="_Toc17472"/>
      <w:bookmarkStart w:id="431" w:name="_Toc29981259"/>
      <w:bookmarkStart w:id="432" w:name="_Toc19494"/>
      <w:bookmarkStart w:id="433" w:name="_Toc23218"/>
      <w:bookmarkStart w:id="434" w:name="_Toc26350986"/>
      <w:r>
        <w:rPr>
          <w:rFonts w:hint="eastAsia"/>
        </w:rPr>
        <w:t>2.财务风险</w:t>
      </w:r>
      <w:bookmarkEnd w:id="428"/>
      <w:bookmarkEnd w:id="429"/>
      <w:bookmarkEnd w:id="430"/>
      <w:bookmarkEnd w:id="431"/>
      <w:bookmarkEnd w:id="432"/>
      <w:bookmarkEnd w:id="433"/>
      <w:bookmarkEnd w:id="434"/>
    </w:p>
    <w:p>
      <w:pPr>
        <w:ind w:firstLine="480"/>
        <w:rPr>
          <w:lang w:val="zh-CN"/>
        </w:rPr>
      </w:pPr>
      <w:r>
        <w:rPr>
          <w:rFonts w:hint="eastAsia"/>
          <w:lang w:val="zh-CN"/>
        </w:rPr>
        <w:t>业主单位资产流动性降低，担保等或有负债增加，或者债务结构不合理，应收账款发生坏账，难以持续融资等，使得财务报表恶化，到期债务还本付息困难的风险。</w:t>
      </w:r>
    </w:p>
    <w:p>
      <w:pPr>
        <w:ind w:firstLine="480"/>
        <w:rPr>
          <w:lang w:val="zh-CN"/>
        </w:rPr>
      </w:pPr>
      <w:r>
        <w:rPr>
          <w:rFonts w:hint="eastAsia"/>
          <w:lang w:val="zh-CN"/>
        </w:rPr>
        <w:t>控制措施：形成业主单位财务报表的定期报告制度，密切关注应收账款、存货、非经常性损益、资产负债率等财务指标出现的重大异常；专项债券募集资金设立项目资金管理专户，由财政部门专项统一管理，保障资金的有序使用和偿债资金的安全性。</w:t>
      </w:r>
    </w:p>
    <w:p>
      <w:pPr>
        <w:pStyle w:val="6"/>
      </w:pPr>
      <w:bookmarkStart w:id="435" w:name="_Toc13499"/>
      <w:bookmarkStart w:id="436" w:name="_Toc6223"/>
      <w:bookmarkStart w:id="437" w:name="_Toc24049"/>
      <w:bookmarkStart w:id="438" w:name="_Toc11122"/>
      <w:bookmarkStart w:id="439" w:name="_Toc29981260"/>
      <w:bookmarkStart w:id="440" w:name="_Toc26350987"/>
      <w:bookmarkStart w:id="441" w:name="_Toc21388"/>
      <w:bookmarkStart w:id="442" w:name="_Toc55468478"/>
      <w:r>
        <w:rPr>
          <w:rFonts w:hint="eastAsia"/>
        </w:rPr>
        <w:t>（三）影响融资平衡结果的风险及控制措施</w:t>
      </w:r>
      <w:bookmarkEnd w:id="435"/>
      <w:bookmarkEnd w:id="436"/>
      <w:bookmarkEnd w:id="437"/>
      <w:bookmarkEnd w:id="438"/>
      <w:bookmarkEnd w:id="439"/>
      <w:bookmarkEnd w:id="440"/>
      <w:bookmarkEnd w:id="441"/>
      <w:bookmarkEnd w:id="442"/>
    </w:p>
    <w:p>
      <w:pPr>
        <w:pStyle w:val="7"/>
      </w:pPr>
      <w:bookmarkStart w:id="443" w:name="_Toc11136"/>
      <w:bookmarkStart w:id="444" w:name="_Toc29981261"/>
      <w:bookmarkStart w:id="445" w:name="_Toc2489"/>
      <w:bookmarkStart w:id="446" w:name="_Toc26350988"/>
      <w:bookmarkStart w:id="447" w:name="_Toc18551"/>
      <w:bookmarkStart w:id="448" w:name="_Toc4940"/>
      <w:bookmarkStart w:id="449" w:name="_Toc25949"/>
      <w:r>
        <w:rPr>
          <w:rFonts w:hint="eastAsia"/>
        </w:rPr>
        <w:t>1.投资测算不准确风险</w:t>
      </w:r>
      <w:bookmarkEnd w:id="443"/>
      <w:bookmarkEnd w:id="444"/>
      <w:bookmarkEnd w:id="445"/>
      <w:bookmarkEnd w:id="446"/>
      <w:bookmarkEnd w:id="447"/>
      <w:bookmarkEnd w:id="448"/>
      <w:bookmarkEnd w:id="449"/>
    </w:p>
    <w:p>
      <w:pPr>
        <w:ind w:firstLine="480"/>
        <w:rPr>
          <w:rFonts w:cs="仿宋"/>
          <w:lang w:val="zh-CN"/>
        </w:rPr>
      </w:pPr>
      <w:r>
        <w:rPr>
          <w:rFonts w:hint="eastAsia" w:cs="仿宋"/>
          <w:lang w:val="zh-CN"/>
        </w:rPr>
        <w:t>投资测算不可避免地会存在偏差，同时，建设期内相关政策、法律、市场等因素的变化可能对估算投资产生影响，若出现实际投资超过投资估算的情况，则可能影响本项目的如期完成。</w:t>
      </w:r>
    </w:p>
    <w:p>
      <w:pPr>
        <w:ind w:firstLine="480"/>
      </w:pPr>
      <w:r>
        <w:rPr>
          <w:rFonts w:hint="eastAsia"/>
          <w:lang w:val="zh-CN"/>
        </w:rPr>
        <w:t>控制措施：根据稳健性原则，在进行投资估算时，适当考虑计入一定比例的不可预见费；测算各项资金当年的到位额亦留有一定余地。在实施过程中，定期对估算投资进行审核验证，如发现对估算投资产生重大影响的变化，及时对估算投资进行调整，并调整融资策略。</w:t>
      </w:r>
    </w:p>
    <w:p>
      <w:pPr>
        <w:pStyle w:val="7"/>
      </w:pPr>
      <w:bookmarkStart w:id="450" w:name="_Toc9527"/>
      <w:bookmarkStart w:id="451" w:name="_Toc23908"/>
      <w:bookmarkStart w:id="452" w:name="_Toc1810"/>
      <w:bookmarkStart w:id="453" w:name="_Toc26880"/>
      <w:bookmarkStart w:id="454" w:name="_Toc29981262"/>
      <w:bookmarkStart w:id="455" w:name="_Toc26350989"/>
      <w:bookmarkStart w:id="456" w:name="_Toc9285"/>
      <w:r>
        <w:rPr>
          <w:rFonts w:hint="eastAsia"/>
        </w:rPr>
        <w:t>2.利率波动风险</w:t>
      </w:r>
      <w:bookmarkEnd w:id="450"/>
      <w:bookmarkEnd w:id="451"/>
      <w:bookmarkEnd w:id="452"/>
      <w:bookmarkEnd w:id="453"/>
      <w:bookmarkEnd w:id="454"/>
      <w:bookmarkEnd w:id="455"/>
      <w:bookmarkEnd w:id="456"/>
    </w:p>
    <w:p>
      <w:pPr>
        <w:ind w:firstLine="480"/>
        <w:rPr>
          <w:lang w:val="zh-CN"/>
        </w:rPr>
      </w:pPr>
      <w:r>
        <w:rPr>
          <w:rFonts w:hint="eastAsia"/>
          <w:lang w:val="zh-CN"/>
        </w:rPr>
        <w:t>受国内外宏观经济形势和国内经济政策变动的影响，资本市场利率水平可能产生不利变动，进而增加业主单位的财务成本，对项目的融资平衡产生较大影响。</w:t>
      </w:r>
    </w:p>
    <w:p>
      <w:pPr>
        <w:ind w:firstLine="480"/>
        <w:rPr>
          <w:lang w:val="zh-CN"/>
        </w:rPr>
      </w:pPr>
      <w:r>
        <w:rPr>
          <w:rFonts w:hint="eastAsia"/>
          <w:lang w:val="zh-CN"/>
        </w:rPr>
        <w:t>控制措施：针对利率波动对项目财务成本的影响问题，对业主单位融资的期限结构、还款方式统筹规划，做好现金流监测，充分利用资金、做好还款计划和还款准备，最大程度降低利率波动带来的损失。</w:t>
      </w:r>
    </w:p>
    <w:p>
      <w:pPr>
        <w:ind w:firstLine="480"/>
        <w:rPr>
          <w:rFonts w:cs="仿宋"/>
          <w:lang w:val="zh-CN"/>
        </w:rPr>
      </w:pPr>
      <w:r>
        <w:rPr>
          <w:rFonts w:cs="仿宋"/>
          <w:lang w:val="zh-CN"/>
        </w:rPr>
        <w:br w:type="page"/>
      </w:r>
    </w:p>
    <w:p>
      <w:pPr>
        <w:pStyle w:val="5"/>
        <w:rPr>
          <w:rFonts w:cs="仿宋"/>
        </w:rPr>
      </w:pPr>
      <w:bookmarkStart w:id="457" w:name="_Toc25173"/>
      <w:bookmarkStart w:id="458" w:name="_Toc55468479"/>
      <w:bookmarkStart w:id="459" w:name="_Toc26350990"/>
      <w:bookmarkStart w:id="460" w:name="_Toc11349"/>
      <w:bookmarkStart w:id="461" w:name="_Toc8993"/>
      <w:bookmarkStart w:id="462" w:name="_Toc29981263"/>
      <w:bookmarkStart w:id="463" w:name="_Toc22987"/>
      <w:bookmarkStart w:id="464" w:name="_Toc11361"/>
      <w:r>
        <w:rPr>
          <w:rFonts w:hint="eastAsia" w:cs="仿宋"/>
        </w:rPr>
        <w:t>七、信息披露计划</w:t>
      </w:r>
      <w:bookmarkEnd w:id="457"/>
      <w:bookmarkEnd w:id="458"/>
      <w:bookmarkEnd w:id="459"/>
      <w:bookmarkEnd w:id="460"/>
      <w:bookmarkEnd w:id="461"/>
      <w:bookmarkEnd w:id="462"/>
      <w:bookmarkEnd w:id="463"/>
      <w:bookmarkEnd w:id="464"/>
    </w:p>
    <w:p>
      <w:pPr>
        <w:ind w:firstLine="480"/>
        <w:rPr>
          <w:lang w:val="zh-CN"/>
        </w:rPr>
      </w:pPr>
      <w:r>
        <w:rPr>
          <w:rFonts w:hint="eastAsia"/>
          <w:lang w:val="zh-CN"/>
        </w:rPr>
        <w:t>按照《财政部关于试点发展项目收益与融资自求平衡的地方政府专项债券品种的通知》（财预〔2017〕89号）规定，分类发行专项债券的地方政府应当及时披露专项债券及其项目信息。财政部门应当在门户网站等及时披露专项债券对应的项目概况、项目预期收益和融资平衡方案、专项债券规模和期限、发行计划安排、还本付息等信息。行业主管部门和项目单位应当及时披露项目进度、专项债券资金使用情况等信息。</w:t>
      </w:r>
    </w:p>
    <w:p>
      <w:pPr>
        <w:ind w:firstLine="480"/>
        <w:rPr>
          <w:rFonts w:cs="仿宋"/>
          <w:lang w:val="zh-CN"/>
        </w:rPr>
      </w:pPr>
      <w:r>
        <w:rPr>
          <w:rFonts w:hint="eastAsia" w:cs="仿宋"/>
          <w:lang w:val="zh-CN"/>
        </w:rPr>
        <w:t>按此规定，“现代交通产业功能区微网优联基础设施及配套项目专项债券”全套信息披露文件通过中国债券信息网-中央结算公司官方网站（http://www.chinabond.com.cn/）详细披露，披露时间及文件内容具体如下：</w:t>
      </w:r>
    </w:p>
    <w:p>
      <w:pPr>
        <w:pStyle w:val="6"/>
      </w:pPr>
      <w:bookmarkStart w:id="465" w:name="_Toc2650"/>
      <w:bookmarkStart w:id="466" w:name="_Toc22741"/>
      <w:bookmarkStart w:id="467" w:name="_Toc9400"/>
      <w:bookmarkStart w:id="468" w:name="_Toc227"/>
      <w:bookmarkStart w:id="469" w:name="_Toc29981264"/>
      <w:bookmarkStart w:id="470" w:name="_Toc13508"/>
      <w:bookmarkStart w:id="471" w:name="_Toc55468480"/>
      <w:bookmarkStart w:id="472" w:name="_Toc26350991"/>
      <w:r>
        <w:rPr>
          <w:rFonts w:hint="eastAsia"/>
        </w:rPr>
        <w:t>（一）每期债券发行日五个工作日之前披露</w:t>
      </w:r>
      <w:bookmarkEnd w:id="465"/>
      <w:bookmarkEnd w:id="466"/>
      <w:bookmarkEnd w:id="467"/>
      <w:bookmarkEnd w:id="468"/>
      <w:bookmarkEnd w:id="469"/>
      <w:bookmarkEnd w:id="470"/>
      <w:bookmarkEnd w:id="471"/>
      <w:bookmarkEnd w:id="472"/>
    </w:p>
    <w:p>
      <w:pPr>
        <w:ind w:firstLine="480"/>
        <w:rPr>
          <w:lang w:val="zh-CN"/>
        </w:rPr>
      </w:pPr>
      <w:r>
        <w:rPr>
          <w:rFonts w:hint="eastAsia"/>
          <w:lang w:val="zh-CN"/>
        </w:rPr>
        <w:t>根据地方政府债券发行相关要求，拟于发行日五个工作日前披露如下信息：</w:t>
      </w:r>
    </w:p>
    <w:p>
      <w:pPr>
        <w:ind w:firstLine="480"/>
        <w:rPr>
          <w:rFonts w:cs="仿宋"/>
          <w:lang w:val="zh-CN"/>
        </w:rPr>
      </w:pPr>
      <w:r>
        <w:rPr>
          <w:rFonts w:hint="eastAsia" w:cs="仿宋"/>
          <w:lang w:val="zh-CN"/>
        </w:rPr>
        <w:t>1.“现代交通产业功能区微网优联基础设施及配套项目专项债券”基本信息。</w:t>
      </w:r>
    </w:p>
    <w:p>
      <w:pPr>
        <w:ind w:firstLine="480"/>
        <w:rPr>
          <w:rFonts w:cs="仿宋"/>
          <w:lang w:val="zh-CN"/>
        </w:rPr>
      </w:pPr>
      <w:r>
        <w:rPr>
          <w:rFonts w:hint="eastAsia" w:cs="仿宋"/>
          <w:lang w:val="zh-CN"/>
        </w:rPr>
        <w:t>2.“现代交通产业功能区微网优联基础设施及配套项目专项债券”募集说明书。</w:t>
      </w:r>
    </w:p>
    <w:p>
      <w:pPr>
        <w:ind w:firstLine="480"/>
        <w:rPr>
          <w:rFonts w:cs="仿宋"/>
          <w:lang w:val="zh-CN"/>
        </w:rPr>
      </w:pPr>
      <w:r>
        <w:rPr>
          <w:rFonts w:hint="eastAsia" w:cs="仿宋"/>
          <w:lang w:val="zh-CN"/>
        </w:rPr>
        <w:t>具体内容框架如下：</w:t>
      </w:r>
    </w:p>
    <w:p>
      <w:pPr>
        <w:ind w:firstLine="960" w:firstLineChars="400"/>
        <w:rPr>
          <w:rFonts w:cs="仿宋"/>
          <w:lang w:val="zh-CN"/>
        </w:rPr>
      </w:pPr>
      <w:r>
        <w:rPr>
          <w:rFonts w:hint="eastAsia" w:cs="仿宋"/>
          <w:lang w:val="zh-CN"/>
        </w:rPr>
        <w:t>扉页</w:t>
      </w:r>
      <w:r>
        <w:rPr>
          <w:rFonts w:hint="eastAsia" w:cs="仿宋"/>
        </w:rPr>
        <w:t xml:space="preserve"> </w:t>
      </w:r>
      <w:r>
        <w:rPr>
          <w:rFonts w:hint="eastAsia" w:cs="仿宋"/>
          <w:lang w:val="zh-CN"/>
        </w:rPr>
        <w:t>相关声明</w:t>
      </w:r>
    </w:p>
    <w:p>
      <w:pPr>
        <w:ind w:firstLine="960" w:firstLineChars="400"/>
        <w:rPr>
          <w:rFonts w:cs="仿宋"/>
          <w:lang w:val="zh-CN"/>
        </w:rPr>
      </w:pPr>
      <w:r>
        <w:rPr>
          <w:rFonts w:hint="eastAsia" w:cs="仿宋"/>
          <w:lang w:val="zh-CN"/>
        </w:rPr>
        <w:t>目录</w:t>
      </w:r>
    </w:p>
    <w:p>
      <w:pPr>
        <w:ind w:firstLine="960" w:firstLineChars="400"/>
        <w:rPr>
          <w:rFonts w:cs="仿宋"/>
          <w:lang w:val="zh-CN"/>
        </w:rPr>
      </w:pPr>
      <w:r>
        <w:rPr>
          <w:rFonts w:hint="eastAsia" w:cs="仿宋"/>
          <w:lang w:val="zh-CN"/>
        </w:rPr>
        <w:t>第一章</w:t>
      </w:r>
      <w:r>
        <w:rPr>
          <w:rFonts w:hint="eastAsia" w:cs="仿宋"/>
        </w:rPr>
        <w:t xml:space="preserve"> </w:t>
      </w:r>
      <w:r>
        <w:rPr>
          <w:rFonts w:hint="eastAsia" w:cs="仿宋"/>
          <w:lang w:val="zh-CN"/>
        </w:rPr>
        <w:t>相关名词释义</w:t>
      </w:r>
    </w:p>
    <w:p>
      <w:pPr>
        <w:ind w:firstLine="960" w:firstLineChars="400"/>
        <w:rPr>
          <w:rFonts w:cs="仿宋"/>
          <w:lang w:val="zh-CN"/>
        </w:rPr>
      </w:pPr>
      <w:r>
        <w:rPr>
          <w:rFonts w:hint="eastAsia" w:cs="仿宋"/>
          <w:lang w:val="zh-CN"/>
        </w:rPr>
        <w:t>第二章</w:t>
      </w:r>
      <w:r>
        <w:rPr>
          <w:rFonts w:hint="eastAsia" w:cs="仿宋"/>
        </w:rPr>
        <w:t xml:space="preserve"> </w:t>
      </w:r>
      <w:r>
        <w:rPr>
          <w:rFonts w:hint="eastAsia" w:cs="仿宋"/>
          <w:lang w:val="zh-CN"/>
        </w:rPr>
        <w:t>风险提示及说明</w:t>
      </w:r>
    </w:p>
    <w:p>
      <w:pPr>
        <w:ind w:firstLine="960" w:firstLineChars="400"/>
        <w:rPr>
          <w:rFonts w:cs="仿宋"/>
          <w:lang w:val="zh-CN"/>
        </w:rPr>
      </w:pPr>
      <w:r>
        <w:rPr>
          <w:rFonts w:hint="eastAsia" w:cs="仿宋"/>
          <w:lang w:val="zh-CN"/>
        </w:rPr>
        <w:t>第三章</w:t>
      </w:r>
      <w:r>
        <w:rPr>
          <w:rFonts w:hint="eastAsia" w:cs="仿宋"/>
        </w:rPr>
        <w:t xml:space="preserve"> </w:t>
      </w:r>
      <w:r>
        <w:rPr>
          <w:rFonts w:hint="eastAsia" w:cs="仿宋"/>
          <w:lang w:val="zh-CN"/>
        </w:rPr>
        <w:t>发行依据</w:t>
      </w:r>
    </w:p>
    <w:p>
      <w:pPr>
        <w:ind w:firstLine="960" w:firstLineChars="400"/>
        <w:rPr>
          <w:rFonts w:cs="仿宋"/>
          <w:lang w:val="zh-CN"/>
        </w:rPr>
      </w:pPr>
      <w:r>
        <w:rPr>
          <w:rFonts w:hint="eastAsia" w:cs="仿宋"/>
          <w:lang w:val="zh-CN"/>
        </w:rPr>
        <w:t>第四章</w:t>
      </w:r>
      <w:r>
        <w:rPr>
          <w:rFonts w:hint="eastAsia" w:cs="仿宋"/>
        </w:rPr>
        <w:t xml:space="preserve"> </w:t>
      </w:r>
      <w:r>
        <w:rPr>
          <w:rFonts w:hint="eastAsia" w:cs="仿宋"/>
          <w:lang w:val="zh-CN"/>
        </w:rPr>
        <w:t>发行条款</w:t>
      </w:r>
    </w:p>
    <w:p>
      <w:pPr>
        <w:ind w:firstLine="960" w:firstLineChars="400"/>
        <w:rPr>
          <w:rFonts w:cs="仿宋"/>
          <w:lang w:val="zh-CN"/>
        </w:rPr>
      </w:pPr>
      <w:r>
        <w:rPr>
          <w:rFonts w:hint="eastAsia" w:cs="仿宋"/>
          <w:lang w:val="zh-CN"/>
        </w:rPr>
        <w:t>第五章</w:t>
      </w:r>
      <w:r>
        <w:rPr>
          <w:rFonts w:hint="eastAsia" w:cs="仿宋"/>
        </w:rPr>
        <w:t xml:space="preserve"> </w:t>
      </w:r>
      <w:r>
        <w:rPr>
          <w:rFonts w:hint="eastAsia" w:cs="仿宋"/>
          <w:lang w:val="zh-CN"/>
        </w:rPr>
        <w:t>募集资金用途</w:t>
      </w:r>
    </w:p>
    <w:p>
      <w:pPr>
        <w:ind w:firstLine="960" w:firstLineChars="400"/>
        <w:rPr>
          <w:rFonts w:cs="仿宋"/>
          <w:lang w:val="zh-CN"/>
        </w:rPr>
      </w:pPr>
      <w:r>
        <w:rPr>
          <w:rFonts w:hint="eastAsia" w:cs="仿宋"/>
          <w:lang w:val="zh-CN"/>
        </w:rPr>
        <w:t>第六章</w:t>
      </w:r>
      <w:r>
        <w:rPr>
          <w:rFonts w:hint="eastAsia" w:cs="仿宋"/>
        </w:rPr>
        <w:t xml:space="preserve"> </w:t>
      </w:r>
      <w:r>
        <w:rPr>
          <w:rFonts w:hint="eastAsia" w:cs="仿宋"/>
          <w:lang w:val="zh-CN"/>
        </w:rPr>
        <w:t>发行人情况（政府性基金财力、债务情况）</w:t>
      </w:r>
    </w:p>
    <w:p>
      <w:pPr>
        <w:ind w:firstLine="960" w:firstLineChars="400"/>
        <w:rPr>
          <w:rFonts w:cs="仿宋"/>
          <w:lang w:val="zh-CN"/>
        </w:rPr>
      </w:pPr>
      <w:r>
        <w:rPr>
          <w:rFonts w:hint="eastAsia" w:cs="仿宋"/>
          <w:lang w:val="zh-CN"/>
        </w:rPr>
        <w:t>第七章</w:t>
      </w:r>
      <w:r>
        <w:rPr>
          <w:rFonts w:hint="eastAsia" w:cs="仿宋"/>
        </w:rPr>
        <w:t xml:space="preserve"> </w:t>
      </w:r>
      <w:r>
        <w:rPr>
          <w:rFonts w:hint="eastAsia" w:cs="仿宋"/>
          <w:lang w:val="zh-CN"/>
        </w:rPr>
        <w:t>项目情况（包括项目基本情况和资金平衡方案）</w:t>
      </w:r>
    </w:p>
    <w:p>
      <w:pPr>
        <w:ind w:firstLine="960" w:firstLineChars="400"/>
        <w:rPr>
          <w:rFonts w:cs="仿宋"/>
          <w:lang w:val="zh-CN"/>
        </w:rPr>
      </w:pPr>
      <w:r>
        <w:rPr>
          <w:rFonts w:hint="eastAsia" w:cs="仿宋"/>
          <w:lang w:val="zh-CN"/>
        </w:rPr>
        <w:t>第八章</w:t>
      </w:r>
      <w:r>
        <w:rPr>
          <w:rFonts w:hint="eastAsia" w:cs="仿宋"/>
        </w:rPr>
        <w:t xml:space="preserve"> </w:t>
      </w:r>
      <w:r>
        <w:rPr>
          <w:rFonts w:hint="eastAsia" w:cs="仿宋"/>
          <w:lang w:val="zh-CN"/>
        </w:rPr>
        <w:t>评级情况</w:t>
      </w:r>
    </w:p>
    <w:p>
      <w:pPr>
        <w:ind w:firstLine="960" w:firstLineChars="400"/>
        <w:rPr>
          <w:rFonts w:cs="仿宋"/>
          <w:lang w:val="zh-CN"/>
        </w:rPr>
      </w:pPr>
      <w:r>
        <w:rPr>
          <w:rFonts w:hint="eastAsia" w:cs="仿宋"/>
          <w:lang w:val="zh-CN"/>
        </w:rPr>
        <w:t>第九章</w:t>
      </w:r>
      <w:r>
        <w:rPr>
          <w:rFonts w:hint="eastAsia" w:cs="仿宋"/>
        </w:rPr>
        <w:t xml:space="preserve"> </w:t>
      </w:r>
      <w:r>
        <w:rPr>
          <w:rFonts w:hint="eastAsia" w:cs="仿宋"/>
          <w:lang w:val="zh-CN"/>
        </w:rPr>
        <w:t>税项</w:t>
      </w:r>
    </w:p>
    <w:p>
      <w:pPr>
        <w:ind w:firstLine="960" w:firstLineChars="400"/>
        <w:rPr>
          <w:rFonts w:cs="仿宋"/>
          <w:lang w:val="zh-CN"/>
        </w:rPr>
      </w:pPr>
      <w:r>
        <w:rPr>
          <w:rFonts w:hint="eastAsia" w:cs="仿宋"/>
          <w:lang w:val="zh-CN"/>
        </w:rPr>
        <w:t>第十章</w:t>
      </w:r>
      <w:r>
        <w:rPr>
          <w:rFonts w:hint="eastAsia" w:cs="仿宋"/>
        </w:rPr>
        <w:t xml:space="preserve"> </w:t>
      </w:r>
      <w:r>
        <w:rPr>
          <w:rFonts w:hint="eastAsia" w:cs="仿宋"/>
          <w:lang w:val="zh-CN"/>
        </w:rPr>
        <w:t>信息披露安排</w:t>
      </w:r>
    </w:p>
    <w:p>
      <w:pPr>
        <w:ind w:firstLine="960" w:firstLineChars="400"/>
        <w:rPr>
          <w:rFonts w:cs="仿宋"/>
          <w:lang w:val="zh-CN"/>
        </w:rPr>
      </w:pPr>
      <w:r>
        <w:rPr>
          <w:rFonts w:hint="eastAsia" w:cs="仿宋"/>
          <w:lang w:val="zh-CN"/>
        </w:rPr>
        <w:t>第十一章</w:t>
      </w:r>
      <w:r>
        <w:rPr>
          <w:rFonts w:hint="eastAsia" w:cs="仿宋"/>
        </w:rPr>
        <w:t xml:space="preserve"> </w:t>
      </w:r>
      <w:r>
        <w:rPr>
          <w:rFonts w:hint="eastAsia" w:cs="仿宋"/>
          <w:lang w:val="zh-CN"/>
        </w:rPr>
        <w:t>投资者保护</w:t>
      </w:r>
      <w:r>
        <w:rPr>
          <w:rFonts w:hint="eastAsia" w:cs="仿宋"/>
          <w:lang w:val="zh-CN"/>
        </w:rPr>
        <w:tab/>
      </w:r>
    </w:p>
    <w:p>
      <w:pPr>
        <w:ind w:firstLine="960" w:firstLineChars="400"/>
        <w:rPr>
          <w:rFonts w:cs="仿宋"/>
          <w:lang w:val="zh-CN"/>
        </w:rPr>
      </w:pPr>
      <w:r>
        <w:rPr>
          <w:rFonts w:hint="eastAsia" w:cs="仿宋"/>
          <w:lang w:val="zh-CN"/>
        </w:rPr>
        <w:t>第十二章</w:t>
      </w:r>
      <w:r>
        <w:rPr>
          <w:rFonts w:hint="eastAsia" w:cs="仿宋"/>
        </w:rPr>
        <w:t xml:space="preserve"> </w:t>
      </w:r>
      <w:r>
        <w:rPr>
          <w:rFonts w:hint="eastAsia" w:cs="仿宋"/>
          <w:lang w:val="zh-CN"/>
        </w:rPr>
        <w:t>发行有关机构</w:t>
      </w:r>
    </w:p>
    <w:p>
      <w:pPr>
        <w:ind w:firstLine="960" w:firstLineChars="400"/>
        <w:rPr>
          <w:rFonts w:cs="仿宋"/>
          <w:lang w:val="zh-CN"/>
        </w:rPr>
      </w:pPr>
      <w:r>
        <w:rPr>
          <w:rFonts w:hint="eastAsia" w:cs="仿宋"/>
          <w:lang w:val="zh-CN"/>
        </w:rPr>
        <w:t>第十三章</w:t>
      </w:r>
      <w:r>
        <w:rPr>
          <w:rFonts w:hint="eastAsia" w:cs="仿宋"/>
        </w:rPr>
        <w:t xml:space="preserve"> </w:t>
      </w:r>
      <w:r>
        <w:rPr>
          <w:rFonts w:hint="eastAsia" w:cs="仿宋"/>
          <w:lang w:val="zh-CN"/>
        </w:rPr>
        <w:t>备查文件</w:t>
      </w:r>
    </w:p>
    <w:p>
      <w:pPr>
        <w:ind w:firstLine="960" w:firstLineChars="400"/>
        <w:rPr>
          <w:rFonts w:cs="仿宋"/>
          <w:lang w:val="zh-CN"/>
        </w:rPr>
      </w:pPr>
      <w:r>
        <w:rPr>
          <w:rFonts w:hint="eastAsia" w:cs="仿宋"/>
          <w:lang w:val="zh-CN"/>
        </w:rPr>
        <w:t>第十四章</w:t>
      </w:r>
      <w:r>
        <w:rPr>
          <w:rFonts w:hint="eastAsia" w:cs="仿宋"/>
        </w:rPr>
        <w:t xml:space="preserve"> </w:t>
      </w:r>
      <w:r>
        <w:rPr>
          <w:rFonts w:hint="eastAsia" w:cs="仿宋"/>
          <w:lang w:val="zh-CN"/>
        </w:rPr>
        <w:t>法律意见书</w:t>
      </w:r>
    </w:p>
    <w:p>
      <w:pPr>
        <w:ind w:firstLine="480"/>
        <w:rPr>
          <w:rFonts w:cs="仿宋"/>
          <w:lang w:val="zh-CN"/>
        </w:rPr>
      </w:pPr>
      <w:r>
        <w:rPr>
          <w:rFonts w:hint="eastAsia" w:cs="仿宋"/>
          <w:lang w:val="zh-CN"/>
        </w:rPr>
        <w:t>3.“现代交通产业功能区微网优联基础设施及配套项目专项债券”信用评级报告和跟踪评级安排。</w:t>
      </w:r>
    </w:p>
    <w:p>
      <w:pPr>
        <w:ind w:firstLine="480"/>
        <w:rPr>
          <w:rFonts w:cs="仿宋"/>
          <w:lang w:val="zh-CN"/>
        </w:rPr>
      </w:pPr>
      <w:r>
        <w:rPr>
          <w:rFonts w:hint="eastAsia" w:cs="仿宋"/>
          <w:lang w:val="zh-CN"/>
        </w:rPr>
        <w:t>4.“现代交通产业功能区微网优联基础设施及配套项目专项债券”发行兑付相关制度办法。</w:t>
      </w:r>
    </w:p>
    <w:p>
      <w:pPr>
        <w:pStyle w:val="6"/>
      </w:pPr>
      <w:bookmarkStart w:id="473" w:name="_Toc9328"/>
      <w:bookmarkStart w:id="474" w:name="_Toc1252"/>
      <w:bookmarkStart w:id="475" w:name="_Toc29981265"/>
      <w:bookmarkStart w:id="476" w:name="_Toc7435"/>
      <w:bookmarkStart w:id="477" w:name="_Toc26350992"/>
      <w:bookmarkStart w:id="478" w:name="_Toc20596"/>
      <w:bookmarkStart w:id="479" w:name="_Toc55468481"/>
      <w:bookmarkStart w:id="480" w:name="_Toc9620"/>
      <w:r>
        <w:rPr>
          <w:rFonts w:hint="eastAsia"/>
        </w:rPr>
        <w:t>（二）每期债券发行结束当日披露</w:t>
      </w:r>
      <w:bookmarkEnd w:id="473"/>
      <w:bookmarkEnd w:id="474"/>
      <w:bookmarkEnd w:id="475"/>
      <w:bookmarkEnd w:id="476"/>
      <w:bookmarkEnd w:id="477"/>
      <w:bookmarkEnd w:id="478"/>
      <w:bookmarkEnd w:id="479"/>
      <w:bookmarkEnd w:id="480"/>
    </w:p>
    <w:p>
      <w:pPr>
        <w:ind w:firstLine="480"/>
        <w:rPr>
          <w:rFonts w:cs="仿宋"/>
        </w:rPr>
      </w:pPr>
      <w:r>
        <w:rPr>
          <w:rFonts w:hint="eastAsia" w:cs="仿宋"/>
          <w:lang w:val="zh-CN"/>
        </w:rPr>
        <w:t>根据地方政府债券发行相关要求，拟于每期债券发行结束当日进行如下公告：“现代交通产业功能区微网优联基础设施及配套项目专项债券”发行结果公告。</w:t>
      </w:r>
    </w:p>
    <w:p>
      <w:pPr>
        <w:pStyle w:val="6"/>
      </w:pPr>
      <w:bookmarkStart w:id="481" w:name="_Toc10225"/>
      <w:bookmarkStart w:id="482" w:name="_Toc32735"/>
      <w:bookmarkStart w:id="483" w:name="_Toc26350993"/>
      <w:bookmarkStart w:id="484" w:name="_Toc14946"/>
      <w:bookmarkStart w:id="485" w:name="_Toc55468482"/>
      <w:bookmarkStart w:id="486" w:name="_Toc29981266"/>
      <w:bookmarkStart w:id="487" w:name="_Toc15529"/>
      <w:bookmarkStart w:id="488" w:name="_Toc16689"/>
      <w:r>
        <w:rPr>
          <w:rFonts w:hint="eastAsia"/>
        </w:rPr>
        <w:t>（三）每期债券每个付息日五个工作日之前披露</w:t>
      </w:r>
      <w:bookmarkEnd w:id="481"/>
      <w:bookmarkEnd w:id="482"/>
      <w:bookmarkEnd w:id="483"/>
      <w:bookmarkEnd w:id="484"/>
      <w:bookmarkEnd w:id="485"/>
      <w:bookmarkEnd w:id="486"/>
      <w:bookmarkEnd w:id="487"/>
      <w:bookmarkEnd w:id="488"/>
    </w:p>
    <w:p>
      <w:pPr>
        <w:ind w:firstLine="480"/>
        <w:rPr>
          <w:rFonts w:cs="仿宋"/>
          <w:lang w:val="zh-CN"/>
        </w:rPr>
      </w:pPr>
      <w:r>
        <w:rPr>
          <w:rFonts w:hint="eastAsia" w:cs="仿宋"/>
          <w:lang w:val="zh-CN"/>
        </w:rPr>
        <w:t>“现代交通产业功能区微网优联基础设施及配套项目专项债券”付息公告。</w:t>
      </w:r>
    </w:p>
    <w:p>
      <w:pPr>
        <w:pStyle w:val="6"/>
      </w:pPr>
      <w:bookmarkStart w:id="489" w:name="_Toc55468483"/>
      <w:bookmarkStart w:id="490" w:name="_Toc18039"/>
      <w:bookmarkStart w:id="491" w:name="_Toc26350994"/>
      <w:bookmarkStart w:id="492" w:name="_Toc29981267"/>
      <w:bookmarkStart w:id="493" w:name="_Toc15654"/>
      <w:bookmarkStart w:id="494" w:name="_Toc20030"/>
      <w:bookmarkStart w:id="495" w:name="_Toc20372"/>
      <w:bookmarkStart w:id="496" w:name="_Toc12188"/>
      <w:r>
        <w:rPr>
          <w:rFonts w:hint="eastAsia"/>
        </w:rPr>
        <w:t>（四）每期债券兑付日五个工作日之前披露</w:t>
      </w:r>
      <w:bookmarkEnd w:id="489"/>
      <w:bookmarkEnd w:id="490"/>
      <w:bookmarkEnd w:id="491"/>
      <w:bookmarkEnd w:id="492"/>
      <w:bookmarkEnd w:id="493"/>
      <w:bookmarkEnd w:id="494"/>
      <w:bookmarkEnd w:id="495"/>
      <w:bookmarkEnd w:id="496"/>
    </w:p>
    <w:p>
      <w:pPr>
        <w:ind w:firstLine="480"/>
        <w:rPr>
          <w:rFonts w:cs="仿宋"/>
          <w:lang w:val="zh-CN"/>
        </w:rPr>
      </w:pPr>
      <w:r>
        <w:rPr>
          <w:rFonts w:hint="eastAsia" w:cs="仿宋"/>
          <w:lang w:val="zh-CN"/>
        </w:rPr>
        <w:t>“现代交通产业功能区微网优联基础设施及配套项目专项债券”本息兑付公告。</w:t>
      </w:r>
    </w:p>
    <w:p>
      <w:pPr>
        <w:pStyle w:val="6"/>
      </w:pPr>
      <w:bookmarkStart w:id="497" w:name="_Toc4079"/>
      <w:bookmarkStart w:id="498" w:name="_Toc26350995"/>
      <w:bookmarkStart w:id="499" w:name="_Toc7012"/>
      <w:bookmarkStart w:id="500" w:name="_Toc21823"/>
      <w:bookmarkStart w:id="501" w:name="_Toc3046"/>
      <w:bookmarkStart w:id="502" w:name="_Toc29981268"/>
      <w:bookmarkStart w:id="503" w:name="_Toc55468484"/>
      <w:bookmarkStart w:id="504" w:name="_Toc22914"/>
      <w:r>
        <w:rPr>
          <w:rFonts w:hint="eastAsia"/>
        </w:rPr>
        <w:t>（五）每期债券存续期内定期披露内容</w:t>
      </w:r>
      <w:bookmarkEnd w:id="497"/>
      <w:bookmarkEnd w:id="498"/>
      <w:bookmarkEnd w:id="499"/>
      <w:bookmarkEnd w:id="500"/>
      <w:bookmarkEnd w:id="501"/>
      <w:bookmarkEnd w:id="502"/>
      <w:bookmarkEnd w:id="503"/>
      <w:bookmarkEnd w:id="504"/>
    </w:p>
    <w:p>
      <w:pPr>
        <w:ind w:firstLine="480"/>
        <w:rPr>
          <w:lang w:val="zh-CN"/>
        </w:rPr>
      </w:pPr>
      <w:r>
        <w:rPr>
          <w:rFonts w:hint="eastAsia"/>
          <w:lang w:val="zh-CN"/>
        </w:rPr>
        <w:t>根据地方政府债券发行相关要求，于债券存续期内每年6月30日前进行定期报告披露，包括：</w:t>
      </w:r>
    </w:p>
    <w:p>
      <w:pPr>
        <w:ind w:firstLine="480"/>
        <w:rPr>
          <w:rFonts w:cs="仿宋"/>
          <w:lang w:val="zh-CN"/>
        </w:rPr>
      </w:pPr>
      <w:r>
        <w:rPr>
          <w:rFonts w:hint="eastAsia" w:cs="仿宋"/>
          <w:lang w:val="zh-CN"/>
        </w:rPr>
        <w:t>1.四川省最近年度及最新季度经济、财政及债务情况说明；</w:t>
      </w:r>
    </w:p>
    <w:p>
      <w:pPr>
        <w:ind w:firstLine="480"/>
        <w:rPr>
          <w:rFonts w:cs="仿宋"/>
          <w:lang w:val="zh-CN"/>
        </w:rPr>
      </w:pPr>
      <w:r>
        <w:rPr>
          <w:rFonts w:hint="eastAsia" w:cs="仿宋"/>
          <w:lang w:val="zh-CN"/>
        </w:rPr>
        <w:t>2.现代交通产业功能区微网优联基础设施及配套项目施工/运营最新情况说明;</w:t>
      </w:r>
    </w:p>
    <w:p>
      <w:pPr>
        <w:ind w:firstLine="480"/>
        <w:rPr>
          <w:rFonts w:cs="仿宋"/>
          <w:lang w:val="zh-CN"/>
        </w:rPr>
      </w:pPr>
      <w:r>
        <w:rPr>
          <w:rFonts w:hint="eastAsia" w:cs="仿宋"/>
          <w:lang w:val="zh-CN"/>
        </w:rPr>
        <w:t>3.“现代交通产业功能区微网优联基础设施及配套项目专项债券”跟踪评级报告。</w:t>
      </w:r>
    </w:p>
    <w:p>
      <w:pPr>
        <w:pStyle w:val="6"/>
      </w:pPr>
      <w:bookmarkStart w:id="505" w:name="_Toc5242"/>
      <w:bookmarkStart w:id="506" w:name="_Toc6221"/>
      <w:bookmarkStart w:id="507" w:name="_Toc27552"/>
      <w:bookmarkStart w:id="508" w:name="_Toc8236"/>
      <w:bookmarkStart w:id="509" w:name="_Toc55468485"/>
      <w:bookmarkStart w:id="510" w:name="_Toc26350996"/>
      <w:bookmarkStart w:id="511" w:name="_Toc959"/>
      <w:bookmarkStart w:id="512" w:name="_Toc29981269"/>
      <w:r>
        <w:rPr>
          <w:rFonts w:hint="eastAsia"/>
        </w:rPr>
        <w:t>（六）每期债券存续期内随时披露内容</w:t>
      </w:r>
      <w:bookmarkEnd w:id="505"/>
      <w:bookmarkEnd w:id="506"/>
      <w:bookmarkEnd w:id="507"/>
      <w:bookmarkEnd w:id="508"/>
      <w:bookmarkEnd w:id="509"/>
      <w:bookmarkEnd w:id="510"/>
      <w:bookmarkEnd w:id="511"/>
      <w:bookmarkEnd w:id="512"/>
    </w:p>
    <w:p>
      <w:pPr>
        <w:ind w:firstLine="480"/>
        <w:rPr>
          <w:lang w:val="zh-CN"/>
        </w:rPr>
      </w:pPr>
      <w:r>
        <w:rPr>
          <w:rFonts w:hint="eastAsia"/>
          <w:lang w:val="zh-CN"/>
        </w:rPr>
        <w:t>根据地方政府债券发行相关要求，于产生影响到本次债券本息兑付之重大事项后随时披露，包括：</w:t>
      </w:r>
    </w:p>
    <w:p>
      <w:pPr>
        <w:ind w:firstLine="480"/>
        <w:rPr>
          <w:lang w:val="zh-CN"/>
        </w:rPr>
      </w:pPr>
      <w:r>
        <w:rPr>
          <w:rFonts w:hint="eastAsia"/>
          <w:lang w:val="zh-CN"/>
        </w:rPr>
        <w:t>1.重大事项临时报告；</w:t>
      </w:r>
    </w:p>
    <w:p>
      <w:pPr>
        <w:ind w:firstLine="480"/>
        <w:rPr>
          <w:lang w:val="zh-CN"/>
        </w:rPr>
      </w:pPr>
      <w:r>
        <w:rPr>
          <w:rFonts w:hint="eastAsia"/>
          <w:lang w:val="zh-CN"/>
        </w:rPr>
        <w:t>2.应急处理措施（若有）。</w:t>
      </w:r>
    </w:p>
    <w:p>
      <w:pPr>
        <w:widowControl/>
        <w:spacing w:line="240" w:lineRule="auto"/>
        <w:ind w:firstLine="0" w:firstLineChars="0"/>
        <w:jc w:val="left"/>
      </w:pPr>
      <w:r>
        <w:br w:type="page"/>
      </w:r>
    </w:p>
    <w:p>
      <w:pPr>
        <w:pStyle w:val="5"/>
      </w:pPr>
      <w:bookmarkStart w:id="513" w:name="_Toc7895"/>
      <w:bookmarkStart w:id="514" w:name="_Toc24419"/>
      <w:bookmarkStart w:id="515" w:name="_Toc55468486"/>
      <w:bookmarkStart w:id="516" w:name="_Toc22395"/>
      <w:bookmarkStart w:id="517" w:name="_Toc10749"/>
      <w:r>
        <w:rPr>
          <w:rFonts w:hint="eastAsia"/>
        </w:rPr>
        <w:t>八、还款保障措施</w:t>
      </w:r>
      <w:bookmarkEnd w:id="513"/>
      <w:bookmarkEnd w:id="514"/>
      <w:bookmarkEnd w:id="515"/>
      <w:bookmarkEnd w:id="516"/>
      <w:bookmarkEnd w:id="517"/>
    </w:p>
    <w:p>
      <w:pPr>
        <w:ind w:firstLine="480"/>
        <w:rPr>
          <w:lang w:val="zh-CN"/>
        </w:rPr>
      </w:pPr>
      <w:r>
        <w:rPr>
          <w:rFonts w:hint="eastAsia"/>
          <w:lang w:val="zh-CN"/>
        </w:rPr>
        <w:t>在对项目收益预测及其所依据的各项假设前提下，本项目预期经营收入能够保障偿还债</w:t>
      </w:r>
      <w:r>
        <w:rPr>
          <w:rFonts w:hint="eastAsia"/>
        </w:rPr>
        <w:t>券</w:t>
      </w:r>
      <w:r>
        <w:rPr>
          <w:rFonts w:hint="eastAsia"/>
          <w:lang w:val="zh-CN"/>
        </w:rPr>
        <w:t>本金及利息，实现项目收益和融资自求平衡。</w:t>
      </w:r>
    </w:p>
    <w:p>
      <w:pPr>
        <w:ind w:firstLine="480"/>
        <w:rPr>
          <w:lang w:val="zh-CN"/>
        </w:rPr>
      </w:pPr>
      <w:r>
        <w:rPr>
          <w:rFonts w:hint="eastAsia"/>
          <w:lang w:val="zh-CN"/>
        </w:rPr>
        <w:t>关于本期债券对应项目的资金需求的偿债措施包括：</w:t>
      </w:r>
    </w:p>
    <w:p>
      <w:pPr>
        <w:ind w:firstLine="480"/>
        <w:rPr>
          <w:lang w:val="zh-CN"/>
        </w:rPr>
      </w:pPr>
      <w:r>
        <w:rPr>
          <w:rFonts w:hint="eastAsia"/>
          <w:lang w:val="zh-CN"/>
        </w:rPr>
        <w:t>（一）本批债券募集资金投资项目自身收益可与专项债券本息实现自求平衡。项目实施完成后，预计实现的项目平衡收益足够覆盖专项债券本息，实现项目收益与融资自求平衡。本批债券募集资金投资项目形成的专项收入，将结合项目对应的专项债券余额统筹安排资金，专门用于偿还债券本金。四川省财政厅将按照财政专项资金管理要求，保证本期债券募集资金投资项目自身收益优先用于专项债券本金偿付。专项债券对应项目形成的国有资产，严格按照专项债券发行时约定的用途使用，不得用于抵押、质押。</w:t>
      </w:r>
    </w:p>
    <w:p>
      <w:pPr>
        <w:ind w:firstLine="480"/>
        <w:rPr>
          <w:lang w:val="zh-CN"/>
        </w:rPr>
      </w:pPr>
      <w:r>
        <w:rPr>
          <w:rFonts w:hint="eastAsia"/>
          <w:lang w:val="zh-CN"/>
        </w:rPr>
        <w:t>（二）按照《国务院办公厅关于印发地方政府性债务风险应急处置预案的通知》（国办函〔2016〕88号）规定，本级政府对地方政府债券依法承担全部偿还责任。本级财政将按照《财政部关于印发&lt;地方政府专项债务预算管理办法&gt;的通知》（财预〔2016〕155号）规定，及时按照转贷协议约定逐级向省财政缴纳本级应当承担的还本付息资金，由省财政按照合同约定及时偿还专项债券到期本息。如偿债出现困难，将通过调减投资计划、处置可变现资产、调整预算支出结构等方式筹集资金偿还债务。未按时足额向省财政缴纳专项债券还本付息资金的，省财政采取适当方式扣回。</w:t>
      </w:r>
    </w:p>
    <w:p>
      <w:pPr>
        <w:pStyle w:val="5"/>
        <w:rPr>
          <w:rFonts w:cs="仿宋"/>
        </w:rPr>
      </w:pPr>
      <w:bookmarkStart w:id="518" w:name="_Toc32269"/>
      <w:bookmarkStart w:id="519" w:name="_Toc25672"/>
      <w:bookmarkStart w:id="520" w:name="_Toc1693"/>
      <w:bookmarkStart w:id="521" w:name="_Toc55468487"/>
      <w:bookmarkStart w:id="522" w:name="_Toc27346"/>
      <w:bookmarkStart w:id="523" w:name="_Toc29981270"/>
      <w:bookmarkStart w:id="524" w:name="_Toc21339"/>
      <w:r>
        <w:rPr>
          <w:rFonts w:hint="eastAsia" w:cs="仿宋"/>
        </w:rPr>
        <w:t>九、附件</w:t>
      </w:r>
      <w:bookmarkEnd w:id="518"/>
      <w:bookmarkEnd w:id="519"/>
      <w:bookmarkEnd w:id="520"/>
      <w:bookmarkEnd w:id="521"/>
      <w:bookmarkEnd w:id="522"/>
      <w:bookmarkEnd w:id="523"/>
      <w:bookmarkEnd w:id="524"/>
    </w:p>
    <w:p>
      <w:pPr>
        <w:ind w:firstLine="480"/>
        <w:rPr>
          <w:rFonts w:cs="仿宋"/>
        </w:rPr>
      </w:pPr>
      <w:r>
        <w:rPr>
          <w:rFonts w:hint="eastAsia" w:cs="仿宋"/>
        </w:rPr>
        <w:t>附件</w:t>
      </w:r>
      <w:r>
        <w:rPr>
          <w:rFonts w:hint="eastAsia" w:cs="仿宋"/>
          <w:lang w:val="en-US" w:eastAsia="zh-CN"/>
        </w:rPr>
        <w:t>1</w:t>
      </w:r>
      <w:r>
        <w:rPr>
          <w:rFonts w:hint="eastAsia" w:cs="仿宋"/>
        </w:rPr>
        <w:t>：成都盛丰邦瑞投资有限公司营业执照</w:t>
      </w:r>
    </w:p>
    <w:p>
      <w:pPr>
        <w:ind w:firstLine="480"/>
        <w:rPr>
          <w:rFonts w:hint="eastAsia" w:cs="仿宋"/>
        </w:rPr>
      </w:pPr>
      <w:r>
        <w:rPr>
          <w:rFonts w:hint="eastAsia" w:cs="仿宋"/>
        </w:rPr>
        <w:t>附件</w:t>
      </w:r>
      <w:r>
        <w:rPr>
          <w:rFonts w:hint="eastAsia" w:cs="仿宋"/>
          <w:lang w:val="en-US" w:eastAsia="zh-CN"/>
        </w:rPr>
        <w:t>2</w:t>
      </w:r>
      <w:r>
        <w:rPr>
          <w:rFonts w:hint="eastAsia" w:cs="仿宋"/>
        </w:rPr>
        <w:t>：四川省固定资产投资项目备案表</w:t>
      </w:r>
    </w:p>
    <w:p>
      <w:pPr>
        <w:ind w:firstLine="480"/>
        <w:rPr>
          <w:rFonts w:hint="eastAsia" w:cs="仿宋"/>
        </w:rPr>
      </w:pPr>
      <w:r>
        <w:rPr>
          <w:rFonts w:hint="eastAsia" w:cs="仿宋"/>
        </w:rPr>
        <w:t>附件</w:t>
      </w:r>
      <w:r>
        <w:rPr>
          <w:rFonts w:hint="eastAsia" w:cs="仿宋"/>
          <w:lang w:val="en-US" w:eastAsia="zh-CN"/>
        </w:rPr>
        <w:t>3</w:t>
      </w:r>
      <w:r>
        <w:rPr>
          <w:rFonts w:hint="eastAsia" w:cs="仿宋"/>
        </w:rPr>
        <w:t>：用地预审的复函</w:t>
      </w:r>
    </w:p>
    <w:p>
      <w:pPr>
        <w:ind w:firstLine="480"/>
        <w:rPr>
          <w:rFonts w:hint="eastAsia" w:cs="仿宋"/>
        </w:rPr>
      </w:pPr>
      <w:r>
        <w:rPr>
          <w:rFonts w:hint="eastAsia" w:cs="仿宋"/>
        </w:rPr>
        <w:t>附件</w:t>
      </w:r>
      <w:r>
        <w:rPr>
          <w:rFonts w:hint="eastAsia" w:cs="仿宋"/>
          <w:lang w:val="en-US" w:eastAsia="zh-CN"/>
        </w:rPr>
        <w:t>4</w:t>
      </w:r>
      <w:r>
        <w:rPr>
          <w:rFonts w:hint="eastAsia" w:cs="仿宋"/>
        </w:rPr>
        <w:t>：关于建设项目环境影响评价手续办理情况的说明</w:t>
      </w:r>
    </w:p>
    <w:p>
      <w:pPr>
        <w:ind w:firstLine="480"/>
        <w:rPr>
          <w:rFonts w:hint="eastAsia" w:cs="仿宋"/>
        </w:rPr>
      </w:pPr>
      <w:r>
        <w:rPr>
          <w:rFonts w:hint="eastAsia" w:cs="仿宋"/>
        </w:rPr>
        <w:t>附件</w:t>
      </w:r>
      <w:r>
        <w:rPr>
          <w:rFonts w:hint="eastAsia" w:cs="仿宋"/>
          <w:lang w:val="en-US" w:eastAsia="zh-CN"/>
        </w:rPr>
        <w:t>5</w:t>
      </w:r>
      <w:r>
        <w:rPr>
          <w:rFonts w:hint="eastAsia" w:cs="仿宋"/>
        </w:rPr>
        <w:t>：资本金落实来源的说明</w:t>
      </w:r>
    </w:p>
    <w:p>
      <w:pPr>
        <w:ind w:firstLine="480"/>
        <w:rPr>
          <w:rFonts w:hint="eastAsia" w:cs="仿宋"/>
        </w:rPr>
      </w:pPr>
      <w:r>
        <w:rPr>
          <w:rFonts w:hint="eastAsia" w:cs="仿宋"/>
        </w:rPr>
        <w:t>附件6：财政补贴收入的说明</w:t>
      </w:r>
    </w:p>
    <w:p>
      <w:pPr>
        <w:ind w:firstLine="480"/>
        <w:rPr>
          <w:rFonts w:hint="eastAsia" w:cs="仿宋"/>
        </w:rPr>
      </w:pPr>
      <w:r>
        <w:rPr>
          <w:rFonts w:hint="eastAsia" w:cs="仿宋"/>
        </w:rPr>
        <w:t>附件</w:t>
      </w:r>
      <w:r>
        <w:rPr>
          <w:rFonts w:hint="eastAsia" w:cs="仿宋"/>
          <w:lang w:val="en-US" w:eastAsia="zh-CN"/>
        </w:rPr>
        <w:t>7</w:t>
      </w:r>
      <w:r>
        <w:rPr>
          <w:rFonts w:hint="eastAsia" w:cs="仿宋"/>
        </w:rPr>
        <w:t>：关于专项债资金不用于禁止类项目清单的承诺函</w:t>
      </w:r>
    </w:p>
    <w:bookmarkEnd w:id="362"/>
    <w:p>
      <w:pPr>
        <w:ind w:firstLine="0" w:firstLineChars="0"/>
        <w:rPr>
          <w:rFonts w:cs="仿宋"/>
        </w:rPr>
      </w:pPr>
    </w:p>
    <w:p>
      <w:pPr>
        <w:ind w:firstLine="960" w:firstLineChars="400"/>
        <w:rPr>
          <w:rFonts w:cs="仿宋"/>
        </w:rPr>
      </w:pPr>
      <w:r>
        <w:rPr>
          <w:rFonts w:hint="eastAsia" w:cs="仿宋"/>
        </w:rPr>
        <w:br w:type="page"/>
      </w:r>
      <w:bookmarkEnd w:id="265"/>
    </w:p>
    <w:p>
      <w:pPr>
        <w:pStyle w:val="6"/>
        <w:spacing w:before="156" w:after="156"/>
      </w:pPr>
      <w:bookmarkStart w:id="525" w:name="_Toc55468489"/>
      <w:bookmarkStart w:id="526" w:name="_Toc9471"/>
      <w:bookmarkStart w:id="527" w:name="_Toc6206"/>
      <w:bookmarkStart w:id="528" w:name="_Toc19302"/>
      <w:r>
        <w:rPr>
          <w:rFonts w:hint="eastAsia"/>
        </w:rPr>
        <w:t>附件</w:t>
      </w:r>
      <w:r>
        <w:rPr>
          <w:rFonts w:hint="eastAsia"/>
          <w:lang w:val="en-US" w:eastAsia="zh-CN"/>
        </w:rPr>
        <w:t>1</w:t>
      </w:r>
      <w:r>
        <w:rPr>
          <w:rFonts w:hint="eastAsia"/>
        </w:rPr>
        <w:t>：</w:t>
      </w:r>
      <w:bookmarkEnd w:id="525"/>
      <w:bookmarkEnd w:id="526"/>
      <w:r>
        <w:rPr>
          <w:rFonts w:hint="eastAsia"/>
        </w:rPr>
        <w:t>成都盛丰邦瑞投资有限公司营业执照</w:t>
      </w:r>
      <w:bookmarkEnd w:id="527"/>
      <w:bookmarkEnd w:id="528"/>
    </w:p>
    <w:p>
      <w:pPr>
        <w:ind w:firstLine="480"/>
      </w:pPr>
      <w:r>
        <w:drawing>
          <wp:inline distT="0" distB="0" distL="114300" distR="114300">
            <wp:extent cx="6066155" cy="4276725"/>
            <wp:effectExtent l="0" t="0" r="3175" b="444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42"/>
                    <a:stretch>
                      <a:fillRect/>
                    </a:stretch>
                  </pic:blipFill>
                  <pic:spPr>
                    <a:xfrm rot="16200000">
                      <a:off x="0" y="0"/>
                      <a:ext cx="6066155" cy="4276725"/>
                    </a:xfrm>
                    <a:prstGeom prst="rect">
                      <a:avLst/>
                    </a:prstGeom>
                    <a:noFill/>
                    <a:ln>
                      <a:noFill/>
                    </a:ln>
                  </pic:spPr>
                </pic:pic>
              </a:graphicData>
            </a:graphic>
          </wp:inline>
        </w:drawing>
      </w:r>
    </w:p>
    <w:p>
      <w:pPr>
        <w:ind w:firstLine="480"/>
        <w:rPr>
          <w:rFonts w:cs="仿宋"/>
        </w:rPr>
      </w:pPr>
      <w:bookmarkStart w:id="529" w:name="_Toc55468490"/>
      <w:bookmarkStart w:id="530" w:name="_Toc24517"/>
      <w:r>
        <w:rPr>
          <w:rFonts w:hint="eastAsia" w:cs="仿宋"/>
        </w:rPr>
        <w:br w:type="page"/>
      </w:r>
    </w:p>
    <w:p>
      <w:pPr>
        <w:pStyle w:val="6"/>
        <w:spacing w:before="156" w:after="156"/>
        <w:rPr>
          <w:rFonts w:cs="仿宋"/>
        </w:rPr>
      </w:pPr>
      <w:bookmarkStart w:id="531" w:name="_Toc8060"/>
      <w:bookmarkStart w:id="532" w:name="_Toc12628"/>
      <w:r>
        <w:rPr>
          <w:rFonts w:hint="eastAsia" w:cs="仿宋"/>
        </w:rPr>
        <w:t>附件</w:t>
      </w:r>
      <w:r>
        <w:rPr>
          <w:rFonts w:hint="eastAsia" w:cs="仿宋"/>
          <w:lang w:val="en-US" w:eastAsia="zh-CN"/>
        </w:rPr>
        <w:t>2</w:t>
      </w:r>
      <w:r>
        <w:rPr>
          <w:rFonts w:hint="eastAsia" w:cs="仿宋"/>
        </w:rPr>
        <w:t>：</w:t>
      </w:r>
      <w:bookmarkEnd w:id="529"/>
      <w:bookmarkEnd w:id="530"/>
      <w:bookmarkEnd w:id="531"/>
      <w:r>
        <w:rPr>
          <w:rFonts w:hint="eastAsia" w:cs="仿宋"/>
          <w:lang w:val="en-US" w:eastAsia="zh-CN"/>
        </w:rPr>
        <w:t>四川省</w:t>
      </w:r>
      <w:r>
        <w:rPr>
          <w:rFonts w:hint="eastAsia" w:cs="仿宋"/>
        </w:rPr>
        <w:t>固定资产</w:t>
      </w:r>
      <w:r>
        <w:rPr>
          <w:rFonts w:hint="eastAsia" w:cs="仿宋"/>
          <w:lang w:val="en-US" w:eastAsia="zh-CN"/>
        </w:rPr>
        <w:t>投资项目</w:t>
      </w:r>
      <w:r>
        <w:rPr>
          <w:rFonts w:hint="eastAsia" w:cs="仿宋"/>
        </w:rPr>
        <w:t>备案表</w:t>
      </w:r>
      <w:bookmarkEnd w:id="532"/>
    </w:p>
    <w:p>
      <w:pPr>
        <w:ind w:firstLine="0" w:firstLineChars="0"/>
        <w:jc w:val="center"/>
      </w:pPr>
      <w:bookmarkStart w:id="533" w:name="_Toc55468491"/>
      <w:bookmarkStart w:id="534" w:name="_Toc27664"/>
      <w:r>
        <w:drawing>
          <wp:inline distT="0" distB="0" distL="0" distR="0">
            <wp:extent cx="5274310" cy="7463790"/>
            <wp:effectExtent l="0" t="0" r="2540" b="3810"/>
            <wp:docPr id="5" name="图片 5" descr="D:\本科\实习\兴业债承\临时帮忙项目\电缆\现代交通产业功能区微网优联基础设施及配套项目备案证明6.7\现代交通产业功能区微网优联基础设施及配套项目备案证明6.7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本科\实习\兴业债承\临时帮忙项目\电缆\现代交通产业功能区微网优联基础设施及配套项目备案证明6.7\现代交通产业功能区微网优联基础设施及配套项目备案证明6.7_00.png"/>
                    <pic:cNvPicPr>
                      <a:picLocks noChangeAspect="1" noChangeArrowheads="1"/>
                    </pic:cNvPicPr>
                  </pic:nvPicPr>
                  <pic:blipFill>
                    <a:blip r:embed="rId43"/>
                    <a:srcRect/>
                    <a:stretch>
                      <a:fillRect/>
                    </a:stretch>
                  </pic:blipFill>
                  <pic:spPr>
                    <a:xfrm>
                      <a:off x="0" y="0"/>
                      <a:ext cx="5274310" cy="7463790"/>
                    </a:xfrm>
                    <a:prstGeom prst="rect">
                      <a:avLst/>
                    </a:prstGeom>
                    <a:noFill/>
                    <a:ln>
                      <a:noFill/>
                    </a:ln>
                  </pic:spPr>
                </pic:pic>
              </a:graphicData>
            </a:graphic>
          </wp:inline>
        </w:drawing>
      </w:r>
    </w:p>
    <w:p>
      <w:pPr>
        <w:pStyle w:val="2"/>
        <w:ind w:firstLine="210"/>
      </w:pPr>
      <w:r>
        <w:drawing>
          <wp:inline distT="0" distB="0" distL="0" distR="0">
            <wp:extent cx="5274310" cy="7463790"/>
            <wp:effectExtent l="0" t="0" r="2540" b="3810"/>
            <wp:docPr id="6" name="图片 6" descr="D:\本科\实习\兴业债承\临时帮忙项目\电缆\现代交通产业功能区微网优联基础设施及配套项目备案证明6.7\现代交通产业功能区微网优联基础设施及配套项目备案证明6.7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本科\实习\兴业债承\临时帮忙项目\电缆\现代交通产业功能区微网优联基础设施及配套项目备案证明6.7\现代交通产业功能区微网优联基础设施及配套项目备案证明6.7_01.png"/>
                    <pic:cNvPicPr>
                      <a:picLocks noChangeAspect="1" noChangeArrowheads="1"/>
                    </pic:cNvPicPr>
                  </pic:nvPicPr>
                  <pic:blipFill>
                    <a:blip r:embed="rId44"/>
                    <a:srcRect/>
                    <a:stretch>
                      <a:fillRect/>
                    </a:stretch>
                  </pic:blipFill>
                  <pic:spPr>
                    <a:xfrm>
                      <a:off x="0" y="0"/>
                      <a:ext cx="5274310" cy="7463790"/>
                    </a:xfrm>
                    <a:prstGeom prst="rect">
                      <a:avLst/>
                    </a:prstGeom>
                    <a:noFill/>
                    <a:ln>
                      <a:noFill/>
                    </a:ln>
                  </pic:spPr>
                </pic:pic>
              </a:graphicData>
            </a:graphic>
          </wp:inline>
        </w:drawing>
      </w:r>
    </w:p>
    <w:p>
      <w:pPr>
        <w:ind w:firstLine="480"/>
      </w:pPr>
      <w:r>
        <w:rPr>
          <w:rFonts w:hint="eastAsia"/>
        </w:rPr>
        <w:br w:type="page"/>
      </w:r>
    </w:p>
    <w:p>
      <w:pPr>
        <w:pStyle w:val="2"/>
        <w:sectPr>
          <w:headerReference r:id="rId12" w:type="default"/>
          <w:footerReference r:id="rId13" w:type="default"/>
          <w:pgSz w:w="11906" w:h="16838"/>
          <w:pgMar w:top="1440" w:right="1800" w:bottom="1440" w:left="1800" w:header="851" w:footer="992" w:gutter="0"/>
          <w:cols w:space="425" w:num="1"/>
          <w:docGrid w:type="lines" w:linePitch="312" w:charSpace="0"/>
        </w:sectPr>
      </w:pPr>
      <w:bookmarkStart w:id="535" w:name="_Toc55468493"/>
    </w:p>
    <w:p>
      <w:pPr>
        <w:pStyle w:val="6"/>
        <w:rPr>
          <w:rFonts w:hint="default"/>
          <w:lang w:val="en-US" w:eastAsia="zh-CN"/>
        </w:rPr>
      </w:pPr>
      <w:bookmarkStart w:id="536" w:name="_Toc4229"/>
      <w:r>
        <w:rPr>
          <w:rFonts w:hint="eastAsia"/>
          <w:lang w:val="en-US" w:eastAsia="zh-CN"/>
        </w:rPr>
        <w:t>附件3：用地预审的复函</w:t>
      </w:r>
      <w:bookmarkEnd w:id="536"/>
    </w:p>
    <w:p>
      <w:pPr>
        <w:pStyle w:val="2"/>
        <w:rPr>
          <w:rFonts w:hint="default"/>
          <w:lang w:val="en-US" w:eastAsia="zh-CN"/>
        </w:rPr>
      </w:pPr>
      <w:r>
        <w:drawing>
          <wp:inline distT="0" distB="0" distL="0" distR="0">
            <wp:extent cx="4581525" cy="659130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5"/>
                    <a:stretch>
                      <a:fillRect/>
                    </a:stretch>
                  </pic:blipFill>
                  <pic:spPr>
                    <a:xfrm>
                      <a:off x="0" y="0"/>
                      <a:ext cx="4581525" cy="6591300"/>
                    </a:xfrm>
                    <a:prstGeom prst="rect">
                      <a:avLst/>
                    </a:prstGeom>
                  </pic:spPr>
                </pic:pic>
              </a:graphicData>
            </a:graphic>
          </wp:inline>
        </w:drawing>
      </w:r>
    </w:p>
    <w:p>
      <w:pPr>
        <w:widowControl/>
        <w:spacing w:line="240" w:lineRule="auto"/>
        <w:ind w:firstLine="0" w:firstLineChars="0"/>
        <w:jc w:val="left"/>
        <w:rPr>
          <w:rFonts w:cs="仿宋"/>
          <w:b/>
          <w:sz w:val="32"/>
        </w:rPr>
      </w:pPr>
      <w:r>
        <w:rPr>
          <w:rFonts w:hint="eastAsia" w:cs="仿宋"/>
        </w:rPr>
        <w:br w:type="page"/>
      </w:r>
    </w:p>
    <w:bookmarkEnd w:id="535"/>
    <w:p>
      <w:pPr>
        <w:pStyle w:val="6"/>
        <w:rPr>
          <w:rFonts w:hint="eastAsia"/>
          <w:lang w:val="en-US" w:eastAsia="zh-CN"/>
        </w:rPr>
      </w:pPr>
      <w:bookmarkStart w:id="537" w:name="_Toc27805"/>
      <w:bookmarkStart w:id="538" w:name="_Toc3910"/>
      <w:r>
        <w:rPr>
          <w:rFonts w:hint="eastAsia"/>
        </w:rPr>
        <w:t>附件</w:t>
      </w:r>
      <w:r>
        <w:rPr>
          <w:rFonts w:hint="eastAsia"/>
          <w:lang w:val="en-US" w:eastAsia="zh-CN"/>
        </w:rPr>
        <w:t>4</w:t>
      </w:r>
      <w:bookmarkEnd w:id="533"/>
      <w:bookmarkEnd w:id="534"/>
      <w:bookmarkEnd w:id="537"/>
      <w:r>
        <w:rPr>
          <w:rFonts w:hint="eastAsia"/>
          <w:lang w:val="en-US" w:eastAsia="zh-CN"/>
        </w:rPr>
        <w:t>：关于建设项目环境影响评价手续办理情况的说明</w:t>
      </w:r>
      <w:bookmarkEnd w:id="538"/>
    </w:p>
    <w:p>
      <w:pPr>
        <w:pStyle w:val="2"/>
        <w:rPr>
          <w:rFonts w:hint="eastAsia"/>
        </w:rPr>
        <w:sectPr>
          <w:pgSz w:w="11906" w:h="16838"/>
          <w:pgMar w:top="1440" w:right="1800" w:bottom="1440" w:left="1800" w:header="851" w:footer="992" w:gutter="0"/>
          <w:cols w:space="425" w:num="1"/>
          <w:docGrid w:type="lines" w:linePitch="312" w:charSpace="0"/>
        </w:sectPr>
      </w:pPr>
      <w:r>
        <w:drawing>
          <wp:inline distT="0" distB="0" distL="114300" distR="114300">
            <wp:extent cx="4432935" cy="5652135"/>
            <wp:effectExtent l="0" t="0" r="5715"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6"/>
                    <a:stretch>
                      <a:fillRect/>
                    </a:stretch>
                  </pic:blipFill>
                  <pic:spPr>
                    <a:xfrm>
                      <a:off x="0" y="0"/>
                      <a:ext cx="4432935" cy="5652135"/>
                    </a:xfrm>
                    <a:prstGeom prst="rect">
                      <a:avLst/>
                    </a:prstGeom>
                    <a:noFill/>
                    <a:ln>
                      <a:noFill/>
                    </a:ln>
                  </pic:spPr>
                </pic:pic>
              </a:graphicData>
            </a:graphic>
          </wp:inline>
        </w:drawing>
      </w:r>
    </w:p>
    <w:p>
      <w:pPr>
        <w:pStyle w:val="6"/>
        <w:rPr>
          <w:rFonts w:hint="eastAsia"/>
        </w:rPr>
      </w:pPr>
      <w:bookmarkStart w:id="539" w:name="_Toc10992"/>
      <w:bookmarkStart w:id="540" w:name="_Toc6210"/>
      <w:bookmarkStart w:id="541" w:name="_Toc55468496"/>
      <w:bookmarkStart w:id="542" w:name="_Toc22439"/>
      <w:r>
        <w:rPr>
          <w:rFonts w:hint="eastAsia"/>
        </w:rPr>
        <w:t>附件</w:t>
      </w:r>
      <w:r>
        <w:rPr>
          <w:rFonts w:hint="eastAsia"/>
          <w:lang w:val="en-US" w:eastAsia="zh-CN"/>
        </w:rPr>
        <w:t>5</w:t>
      </w:r>
      <w:r>
        <w:rPr>
          <w:rFonts w:hint="eastAsia"/>
        </w:rPr>
        <w:t>：资本金落实来源的说明</w:t>
      </w:r>
      <w:bookmarkEnd w:id="539"/>
      <w:bookmarkEnd w:id="540"/>
      <w:bookmarkEnd w:id="541"/>
      <w:bookmarkEnd w:id="542"/>
    </w:p>
    <w:p>
      <w:pPr>
        <w:rPr>
          <w:b/>
        </w:rPr>
      </w:pPr>
      <w:r>
        <w:rPr>
          <w:rFonts w:hint="eastAsia"/>
          <w:b/>
        </w:rPr>
        <w:t>该项目总投资估算为101701.06</w:t>
      </w:r>
      <w:r>
        <w:rPr>
          <w:b/>
        </w:rPr>
        <w:t>万元，其中：资本金</w:t>
      </w:r>
      <w:r>
        <w:rPr>
          <w:rFonts w:hint="eastAsia"/>
          <w:b/>
        </w:rPr>
        <w:t>21701.06</w:t>
      </w:r>
      <w:r>
        <w:rPr>
          <w:b/>
        </w:rPr>
        <w:t>万元，由</w:t>
      </w:r>
      <w:r>
        <w:rPr>
          <w:rFonts w:hint="eastAsia"/>
          <w:b/>
        </w:rPr>
        <w:t>财政拨款和业主自筹</w:t>
      </w:r>
      <w:r>
        <w:rPr>
          <w:b/>
        </w:rPr>
        <w:t>构成，占比</w:t>
      </w:r>
      <w:r>
        <w:rPr>
          <w:rFonts w:hint="eastAsia"/>
          <w:b/>
        </w:rPr>
        <w:t>21.34</w:t>
      </w:r>
      <w:r>
        <w:rPr>
          <w:b/>
        </w:rPr>
        <w:t>%。该资本金金额及比例已在《实施方案》“三、项目投资测算（二）资金筹措方案1.资金来源”中予以具体明确，且实施方案经财政局、业主单位签章确认。</w:t>
      </w:r>
    </w:p>
    <w:p>
      <w:pPr>
        <w:sectPr>
          <w:pgSz w:w="11906" w:h="16838"/>
          <w:pgMar w:top="1440" w:right="1800" w:bottom="1440" w:left="1800" w:header="851" w:footer="992" w:gutter="0"/>
          <w:cols w:space="425" w:num="1"/>
          <w:docGrid w:type="lines" w:linePitch="312" w:charSpace="0"/>
        </w:sectPr>
      </w:pPr>
      <w:r>
        <w:drawing>
          <wp:inline distT="0" distB="0" distL="114300" distR="114300">
            <wp:extent cx="6115685" cy="4669155"/>
            <wp:effectExtent l="0" t="0" r="17145" b="1841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47"/>
                    <a:srcRect l="13007"/>
                    <a:stretch>
                      <a:fillRect/>
                    </a:stretch>
                  </pic:blipFill>
                  <pic:spPr>
                    <a:xfrm rot="16200000">
                      <a:off x="0" y="0"/>
                      <a:ext cx="6115685" cy="4669155"/>
                    </a:xfrm>
                    <a:prstGeom prst="rect">
                      <a:avLst/>
                    </a:prstGeom>
                    <a:noFill/>
                    <a:ln>
                      <a:noFill/>
                    </a:ln>
                  </pic:spPr>
                </pic:pic>
              </a:graphicData>
            </a:graphic>
          </wp:inline>
        </w:drawing>
      </w:r>
    </w:p>
    <w:p>
      <w:pPr>
        <w:pStyle w:val="6"/>
        <w:rPr>
          <w:rFonts w:hint="default"/>
          <w:lang w:val="en-US" w:eastAsia="zh-CN"/>
        </w:rPr>
      </w:pPr>
      <w:bookmarkStart w:id="543" w:name="_Toc2398"/>
      <w:r>
        <w:rPr>
          <w:rFonts w:hint="eastAsia"/>
          <w:lang w:val="en-US" w:eastAsia="zh-CN"/>
        </w:rPr>
        <w:t>附件6：财政补贴收入的说明</w:t>
      </w:r>
      <w:bookmarkEnd w:id="543"/>
    </w:p>
    <w:p>
      <w:pPr>
        <w:pStyle w:val="2"/>
        <w:rPr>
          <w:rFonts w:hint="eastAsia"/>
          <w:lang w:val="en-US" w:eastAsia="zh-CN"/>
        </w:rPr>
      </w:pPr>
      <w:r>
        <w:drawing>
          <wp:inline distT="0" distB="0" distL="114300" distR="114300">
            <wp:extent cx="4894580" cy="7143115"/>
            <wp:effectExtent l="0" t="0" r="1270" b="63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48"/>
                    <a:stretch>
                      <a:fillRect/>
                    </a:stretch>
                  </pic:blipFill>
                  <pic:spPr>
                    <a:xfrm>
                      <a:off x="0" y="0"/>
                      <a:ext cx="4894580" cy="7143115"/>
                    </a:xfrm>
                    <a:prstGeom prst="rect">
                      <a:avLst/>
                    </a:prstGeom>
                    <a:noFill/>
                    <a:ln>
                      <a:noFill/>
                    </a:ln>
                  </pic:spPr>
                </pic:pic>
              </a:graphicData>
            </a:graphic>
          </wp:inline>
        </w:drawing>
      </w:r>
    </w:p>
    <w:p>
      <w:pPr>
        <w:rPr>
          <w:rFonts w:hint="default"/>
          <w:lang w:val="en-US" w:eastAsia="zh-CN"/>
        </w:rPr>
        <w:sectPr>
          <w:pgSz w:w="11906" w:h="16838"/>
          <w:pgMar w:top="1440" w:right="1800" w:bottom="1440" w:left="1800" w:header="851" w:footer="992" w:gutter="0"/>
          <w:cols w:space="425" w:num="1"/>
          <w:docGrid w:type="lines" w:linePitch="312" w:charSpace="0"/>
        </w:sectPr>
      </w:pPr>
    </w:p>
    <w:p>
      <w:pPr>
        <w:pStyle w:val="6"/>
        <w:rPr>
          <w:rFonts w:hint="eastAsia"/>
        </w:rPr>
      </w:pPr>
      <w:bookmarkStart w:id="544" w:name="_Toc11843"/>
      <w:r>
        <w:rPr>
          <w:rFonts w:hint="eastAsia"/>
          <w:lang w:val="en-US" w:eastAsia="zh-CN"/>
        </w:rPr>
        <w:t>附件7：</w:t>
      </w:r>
      <w:r>
        <w:rPr>
          <w:rFonts w:hint="eastAsia"/>
        </w:rPr>
        <w:t>关于专项债资金不用于禁止类项目清单的承诺函</w:t>
      </w:r>
      <w:bookmarkEnd w:id="544"/>
    </w:p>
    <w:p>
      <w:pPr>
        <w:ind w:firstLine="480"/>
      </w:pPr>
      <w:r>
        <w:drawing>
          <wp:inline distT="0" distB="0" distL="114300" distR="114300">
            <wp:extent cx="7219950" cy="5076825"/>
            <wp:effectExtent l="0" t="0" r="9525" b="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49"/>
                    <a:stretch>
                      <a:fillRect/>
                    </a:stretch>
                  </pic:blipFill>
                  <pic:spPr>
                    <a:xfrm rot="16200000">
                      <a:off x="0" y="0"/>
                      <a:ext cx="7219950" cy="5076825"/>
                    </a:xfrm>
                    <a:prstGeom prst="rect">
                      <a:avLst/>
                    </a:prstGeom>
                    <a:noFill/>
                    <a:ln>
                      <a:noFill/>
                    </a:ln>
                  </pic:spPr>
                </pic:pic>
              </a:graphicData>
            </a:graphic>
          </wp:inline>
        </w:drawing>
      </w:r>
    </w:p>
    <w:p>
      <w:pPr>
        <w:pStyle w:val="2"/>
      </w:pPr>
      <w:r>
        <w:drawing>
          <wp:inline distT="0" distB="0" distL="114300" distR="114300">
            <wp:extent cx="7324725" cy="5172075"/>
            <wp:effectExtent l="0" t="0" r="9525" b="952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50"/>
                    <a:stretch>
                      <a:fillRect/>
                    </a:stretch>
                  </pic:blipFill>
                  <pic:spPr>
                    <a:xfrm rot="16200000">
                      <a:off x="0" y="0"/>
                      <a:ext cx="7324725" cy="5172075"/>
                    </a:xfrm>
                    <a:prstGeom prst="rect">
                      <a:avLst/>
                    </a:prstGeom>
                    <a:noFill/>
                    <a:ln>
                      <a:noFill/>
                    </a:ln>
                  </pic:spPr>
                </pic:pic>
              </a:graphicData>
            </a:graphic>
          </wp:inline>
        </w:drawing>
      </w:r>
    </w:p>
    <w:p>
      <w:pPr>
        <w:ind w:firstLine="0" w:firstLineChars="0"/>
        <w:rPr>
          <w:rFonts w:cs="仿宋"/>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LF_Kai">
    <w:altName w:val="宋体"/>
    <w:panose1 w:val="00000000000000000000"/>
    <w:charset w:val="86"/>
    <w:family w:val="script"/>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PMingLiU">
    <w:altName w:val="Microsoft JhengHei UI"/>
    <w:panose1 w:val="02010601000101010101"/>
    <w:charset w:val="88"/>
    <w:family w:val="roman"/>
    <w:pitch w:val="default"/>
    <w:sig w:usb0="00000000" w:usb1="00000000" w:usb2="00000016" w:usb3="00000000" w:csb0="00100001" w:csb1="00000000"/>
  </w:font>
  <w:font w:name="Calibri Light">
    <w:panose1 w:val="020F03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隶书">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9003930"/>
    </w:sdtPr>
    <w:sdtContent>
      <w:p>
        <w:pPr>
          <w:pStyle w:val="22"/>
          <w:ind w:firstLine="360"/>
          <w:jc w:val="center"/>
        </w:pPr>
        <w:r>
          <w:fldChar w:fldCharType="begin"/>
        </w:r>
        <w:r>
          <w:instrText xml:space="preserve">PAGE   \* MERGEFORMAT</w:instrText>
        </w:r>
        <w:r>
          <w:fldChar w:fldCharType="separate"/>
        </w:r>
        <w:r>
          <w:rPr>
            <w:lang w:val="zh-CN"/>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ind w:firstLine="360"/>
                          </w:pPr>
                          <w:r>
                            <w:rPr>
                              <w:rFonts w:hint="eastAsia"/>
                            </w:rPr>
                            <w:fldChar w:fldCharType="begin"/>
                          </w:r>
                          <w:r>
                            <w:rPr>
                              <w:rFonts w:hint="eastAsia"/>
                            </w:rPr>
                            <w:instrText xml:space="preserve"> PAGE  \* MERGEFORMAT </w:instrText>
                          </w:r>
                          <w:r>
                            <w:rPr>
                              <w:rFonts w:hint="eastAsia"/>
                            </w:rPr>
                            <w:fldChar w:fldCharType="separate"/>
                          </w:r>
                          <w:r>
                            <w:t>81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pPr>
                      <w:pStyle w:val="22"/>
                      <w:ind w:firstLine="360"/>
                    </w:pPr>
                    <w:r>
                      <w:rPr>
                        <w:rFonts w:hint="eastAsia"/>
                      </w:rPr>
                      <w:fldChar w:fldCharType="begin"/>
                    </w:r>
                    <w:r>
                      <w:rPr>
                        <w:rFonts w:hint="eastAsia"/>
                      </w:rPr>
                      <w:instrText xml:space="preserve"> PAGE  \* MERGEFORMAT </w:instrText>
                    </w:r>
                    <w:r>
                      <w:rPr>
                        <w:rFonts w:hint="eastAsia"/>
                      </w:rPr>
                      <w:fldChar w:fldCharType="separate"/>
                    </w:r>
                    <w:r>
                      <w:t>81</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0"/>
      </w:pBdr>
      <w:ind w:firstLine="320"/>
      <w:jc w:val="left"/>
      <w:rPr>
        <w:rFonts w:ascii="华文隶书" w:hAnsi="华文隶书" w:eastAsia="华文隶书" w:cs="华文隶书"/>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4FF691"/>
    <w:multiLevelType w:val="singleLevel"/>
    <w:tmpl w:val="AB4FF691"/>
    <w:lvl w:ilvl="0" w:tentative="0">
      <w:start w:val="1"/>
      <w:numFmt w:val="upperLetter"/>
      <w:lvlText w:val="%1."/>
      <w:lvlJc w:val="left"/>
      <w:pPr>
        <w:tabs>
          <w:tab w:val="left" w:pos="312"/>
        </w:tabs>
      </w:pPr>
    </w:lvl>
  </w:abstractNum>
  <w:abstractNum w:abstractNumId="1">
    <w:nsid w:val="BC142569"/>
    <w:multiLevelType w:val="singleLevel"/>
    <w:tmpl w:val="BC142569"/>
    <w:lvl w:ilvl="0" w:tentative="0">
      <w:start w:val="4"/>
      <w:numFmt w:val="chineseCounting"/>
      <w:suff w:val="nothing"/>
      <w:lvlText w:val="（%1）"/>
      <w:lvlJc w:val="left"/>
      <w:rPr>
        <w:rFonts w:hint="eastAsia"/>
      </w:rPr>
    </w:lvl>
  </w:abstractNum>
  <w:abstractNum w:abstractNumId="2">
    <w:nsid w:val="D44F4C2D"/>
    <w:multiLevelType w:val="singleLevel"/>
    <w:tmpl w:val="D44F4C2D"/>
    <w:lvl w:ilvl="0" w:tentative="0">
      <w:start w:val="2"/>
      <w:numFmt w:val="decimal"/>
      <w:suff w:val="nothing"/>
      <w:lvlText w:val="%1、"/>
      <w:lvlJc w:val="left"/>
    </w:lvl>
  </w:abstractNum>
  <w:abstractNum w:abstractNumId="3">
    <w:nsid w:val="F993C81C"/>
    <w:multiLevelType w:val="singleLevel"/>
    <w:tmpl w:val="F993C81C"/>
    <w:lvl w:ilvl="0" w:tentative="0">
      <w:start w:val="2"/>
      <w:numFmt w:val="decimal"/>
      <w:suff w:val="nothing"/>
      <w:lvlText w:val="%1）"/>
      <w:lvlJc w:val="left"/>
    </w:lvl>
  </w:abstractNum>
  <w:abstractNum w:abstractNumId="4">
    <w:nsid w:val="639DD24C"/>
    <w:multiLevelType w:val="singleLevel"/>
    <w:tmpl w:val="639DD24C"/>
    <w:lvl w:ilvl="0" w:tentative="0">
      <w:start w:val="1"/>
      <w:numFmt w:val="decimalEnclosedCircleChinese"/>
      <w:suff w:val="nothing"/>
      <w:lvlText w:val="%1　"/>
      <w:lvlJc w:val="left"/>
      <w:pPr>
        <w:ind w:left="0" w:firstLine="400"/>
      </w:pPr>
      <w:rPr>
        <w:rFonts w:hint="eastAsia"/>
      </w:rPr>
    </w:lvl>
  </w:abstractNum>
  <w:abstractNum w:abstractNumId="5">
    <w:nsid w:val="68BF39BE"/>
    <w:multiLevelType w:val="singleLevel"/>
    <w:tmpl w:val="68BF39BE"/>
    <w:lvl w:ilvl="0" w:tentative="0">
      <w:start w:val="2"/>
      <w:numFmt w:val="decimal"/>
      <w:suff w:val="nothing"/>
      <w:lvlText w:val="（%1）"/>
      <w:lvlJc w:val="left"/>
    </w:lvl>
  </w:abstractNum>
  <w:abstractNum w:abstractNumId="6">
    <w:nsid w:val="7AC60F2B"/>
    <w:multiLevelType w:val="singleLevel"/>
    <w:tmpl w:val="7AC60F2B"/>
    <w:lvl w:ilvl="0" w:tentative="0">
      <w:start w:val="2"/>
      <w:numFmt w:val="decimal"/>
      <w:suff w:val="nothing"/>
      <w:lvlText w:val="（%1）"/>
      <w:lvlJc w:val="left"/>
    </w:lvl>
  </w:abstractNum>
  <w:num w:numId="1">
    <w:abstractNumId w:val="2"/>
  </w:num>
  <w:num w:numId="2">
    <w:abstractNumId w:val="5"/>
  </w:num>
  <w:num w:numId="3">
    <w:abstractNumId w:val="3"/>
  </w:num>
  <w:num w:numId="4">
    <w:abstractNumId w:val="4"/>
  </w:num>
  <w:num w:numId="5">
    <w:abstractNumId w:val="1"/>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SystemFonts/>
  <w:bordersDoNotSurroundHeader w:val="0"/>
  <w:bordersDoNotSurroundFooter w:val="0"/>
  <w:documentProtection w:enforcement="0"/>
  <w:defaultTabStop w:val="420"/>
  <w:drawingGridVerticalSpacing w:val="165"/>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I1MzljODBiNDliMzEyMzFlZWNlN2EzYjU0N2YzMWEifQ=="/>
  </w:docVars>
  <w:rsids>
    <w:rsidRoot w:val="59875F52"/>
    <w:rsid w:val="0000049C"/>
    <w:rsid w:val="00000E33"/>
    <w:rsid w:val="00001AC9"/>
    <w:rsid w:val="000022C0"/>
    <w:rsid w:val="000028E5"/>
    <w:rsid w:val="00006272"/>
    <w:rsid w:val="0000787C"/>
    <w:rsid w:val="00010190"/>
    <w:rsid w:val="00010BDB"/>
    <w:rsid w:val="00016B7A"/>
    <w:rsid w:val="000179D7"/>
    <w:rsid w:val="000212FB"/>
    <w:rsid w:val="00021BCB"/>
    <w:rsid w:val="00022E4A"/>
    <w:rsid w:val="00026A8E"/>
    <w:rsid w:val="00031D94"/>
    <w:rsid w:val="0003437C"/>
    <w:rsid w:val="00036A18"/>
    <w:rsid w:val="0003702D"/>
    <w:rsid w:val="00042621"/>
    <w:rsid w:val="00050B63"/>
    <w:rsid w:val="00054541"/>
    <w:rsid w:val="000600F8"/>
    <w:rsid w:val="000617C3"/>
    <w:rsid w:val="00066E22"/>
    <w:rsid w:val="00067956"/>
    <w:rsid w:val="0007020F"/>
    <w:rsid w:val="000703B3"/>
    <w:rsid w:val="00072ECA"/>
    <w:rsid w:val="000803EE"/>
    <w:rsid w:val="000849FE"/>
    <w:rsid w:val="00090FE8"/>
    <w:rsid w:val="0009170E"/>
    <w:rsid w:val="00091BF3"/>
    <w:rsid w:val="00096A39"/>
    <w:rsid w:val="000A4C94"/>
    <w:rsid w:val="000A76FF"/>
    <w:rsid w:val="000B1099"/>
    <w:rsid w:val="000B1CBE"/>
    <w:rsid w:val="000B37E8"/>
    <w:rsid w:val="000B4237"/>
    <w:rsid w:val="000B6623"/>
    <w:rsid w:val="000C0EF5"/>
    <w:rsid w:val="000C162A"/>
    <w:rsid w:val="000C24E6"/>
    <w:rsid w:val="000C395C"/>
    <w:rsid w:val="000C4E78"/>
    <w:rsid w:val="000C57D2"/>
    <w:rsid w:val="000D0A77"/>
    <w:rsid w:val="000D4949"/>
    <w:rsid w:val="000D4AC0"/>
    <w:rsid w:val="000D518A"/>
    <w:rsid w:val="000D6C95"/>
    <w:rsid w:val="000D7EC3"/>
    <w:rsid w:val="000E3685"/>
    <w:rsid w:val="000E4C6F"/>
    <w:rsid w:val="000E5743"/>
    <w:rsid w:val="000E5C7C"/>
    <w:rsid w:val="000E739A"/>
    <w:rsid w:val="000F1279"/>
    <w:rsid w:val="000F15BE"/>
    <w:rsid w:val="000F16B7"/>
    <w:rsid w:val="000F1BFE"/>
    <w:rsid w:val="000F3C69"/>
    <w:rsid w:val="0010000C"/>
    <w:rsid w:val="0010392A"/>
    <w:rsid w:val="001048E8"/>
    <w:rsid w:val="0010589E"/>
    <w:rsid w:val="00110537"/>
    <w:rsid w:val="00117C03"/>
    <w:rsid w:val="00120443"/>
    <w:rsid w:val="00120516"/>
    <w:rsid w:val="00121626"/>
    <w:rsid w:val="00122D53"/>
    <w:rsid w:val="00122E45"/>
    <w:rsid w:val="00123391"/>
    <w:rsid w:val="00126B74"/>
    <w:rsid w:val="00131B79"/>
    <w:rsid w:val="00134F97"/>
    <w:rsid w:val="00135875"/>
    <w:rsid w:val="00141254"/>
    <w:rsid w:val="00144888"/>
    <w:rsid w:val="001457C3"/>
    <w:rsid w:val="00146068"/>
    <w:rsid w:val="0015343C"/>
    <w:rsid w:val="00153F3F"/>
    <w:rsid w:val="001552B0"/>
    <w:rsid w:val="00157DDA"/>
    <w:rsid w:val="001609FE"/>
    <w:rsid w:val="00163F1E"/>
    <w:rsid w:val="001643BD"/>
    <w:rsid w:val="00171876"/>
    <w:rsid w:val="00176135"/>
    <w:rsid w:val="00176F1D"/>
    <w:rsid w:val="00180288"/>
    <w:rsid w:val="00181516"/>
    <w:rsid w:val="0018222F"/>
    <w:rsid w:val="00184749"/>
    <w:rsid w:val="001850DC"/>
    <w:rsid w:val="00187F14"/>
    <w:rsid w:val="00191490"/>
    <w:rsid w:val="00195015"/>
    <w:rsid w:val="00196F5E"/>
    <w:rsid w:val="001A0CD1"/>
    <w:rsid w:val="001A21E5"/>
    <w:rsid w:val="001A4944"/>
    <w:rsid w:val="001A4E60"/>
    <w:rsid w:val="001A5774"/>
    <w:rsid w:val="001B4AE1"/>
    <w:rsid w:val="001B4F9B"/>
    <w:rsid w:val="001B521F"/>
    <w:rsid w:val="001B5777"/>
    <w:rsid w:val="001B6061"/>
    <w:rsid w:val="001B6AC8"/>
    <w:rsid w:val="001C2389"/>
    <w:rsid w:val="001C4C6E"/>
    <w:rsid w:val="001D04C7"/>
    <w:rsid w:val="001D0F4D"/>
    <w:rsid w:val="001D34E1"/>
    <w:rsid w:val="001D5B28"/>
    <w:rsid w:val="001D6D52"/>
    <w:rsid w:val="001E10BD"/>
    <w:rsid w:val="001E3853"/>
    <w:rsid w:val="001F31BD"/>
    <w:rsid w:val="001F34FC"/>
    <w:rsid w:val="001F3F58"/>
    <w:rsid w:val="001F52D3"/>
    <w:rsid w:val="001F677A"/>
    <w:rsid w:val="001F6AA0"/>
    <w:rsid w:val="0020049A"/>
    <w:rsid w:val="00202E13"/>
    <w:rsid w:val="002039A6"/>
    <w:rsid w:val="00206E70"/>
    <w:rsid w:val="00210B60"/>
    <w:rsid w:val="00211DBE"/>
    <w:rsid w:val="002150B9"/>
    <w:rsid w:val="00217103"/>
    <w:rsid w:val="00217F8B"/>
    <w:rsid w:val="0022007A"/>
    <w:rsid w:val="00221A9B"/>
    <w:rsid w:val="00223003"/>
    <w:rsid w:val="00225B99"/>
    <w:rsid w:val="00225BFA"/>
    <w:rsid w:val="00227079"/>
    <w:rsid w:val="00227204"/>
    <w:rsid w:val="00231714"/>
    <w:rsid w:val="00231F3A"/>
    <w:rsid w:val="00232652"/>
    <w:rsid w:val="00236C93"/>
    <w:rsid w:val="002401F9"/>
    <w:rsid w:val="00240775"/>
    <w:rsid w:val="002458D0"/>
    <w:rsid w:val="00252F82"/>
    <w:rsid w:val="00253575"/>
    <w:rsid w:val="0025578C"/>
    <w:rsid w:val="00255A8B"/>
    <w:rsid w:val="002614F5"/>
    <w:rsid w:val="00266EF9"/>
    <w:rsid w:val="0026755C"/>
    <w:rsid w:val="00267B9E"/>
    <w:rsid w:val="002713FF"/>
    <w:rsid w:val="00283384"/>
    <w:rsid w:val="00285624"/>
    <w:rsid w:val="00285D7B"/>
    <w:rsid w:val="002869A2"/>
    <w:rsid w:val="00287B8E"/>
    <w:rsid w:val="0029372C"/>
    <w:rsid w:val="00293C0B"/>
    <w:rsid w:val="002A259B"/>
    <w:rsid w:val="002A507A"/>
    <w:rsid w:val="002B07AC"/>
    <w:rsid w:val="002B2A38"/>
    <w:rsid w:val="002B39E3"/>
    <w:rsid w:val="002B6037"/>
    <w:rsid w:val="002C0714"/>
    <w:rsid w:val="002C0873"/>
    <w:rsid w:val="002C175C"/>
    <w:rsid w:val="002C350A"/>
    <w:rsid w:val="002C7273"/>
    <w:rsid w:val="002C79D9"/>
    <w:rsid w:val="002D3333"/>
    <w:rsid w:val="002D3F9E"/>
    <w:rsid w:val="002D4B13"/>
    <w:rsid w:val="002D5818"/>
    <w:rsid w:val="002E0A79"/>
    <w:rsid w:val="002E0E81"/>
    <w:rsid w:val="002E123C"/>
    <w:rsid w:val="002E70C5"/>
    <w:rsid w:val="002E7475"/>
    <w:rsid w:val="002E7914"/>
    <w:rsid w:val="002F1185"/>
    <w:rsid w:val="002F3E7E"/>
    <w:rsid w:val="002F4055"/>
    <w:rsid w:val="002F560A"/>
    <w:rsid w:val="002F7CA5"/>
    <w:rsid w:val="002F7DD6"/>
    <w:rsid w:val="00300587"/>
    <w:rsid w:val="00311CF3"/>
    <w:rsid w:val="003152DD"/>
    <w:rsid w:val="003163B1"/>
    <w:rsid w:val="00316CCA"/>
    <w:rsid w:val="00320B19"/>
    <w:rsid w:val="00322AD3"/>
    <w:rsid w:val="00324342"/>
    <w:rsid w:val="00324679"/>
    <w:rsid w:val="0032490B"/>
    <w:rsid w:val="00324A18"/>
    <w:rsid w:val="0033046D"/>
    <w:rsid w:val="0033105C"/>
    <w:rsid w:val="00331388"/>
    <w:rsid w:val="00332153"/>
    <w:rsid w:val="00334E55"/>
    <w:rsid w:val="00335AE5"/>
    <w:rsid w:val="00336A42"/>
    <w:rsid w:val="00336EDD"/>
    <w:rsid w:val="00341A88"/>
    <w:rsid w:val="0034210F"/>
    <w:rsid w:val="00351EF6"/>
    <w:rsid w:val="00352844"/>
    <w:rsid w:val="00353CDA"/>
    <w:rsid w:val="00354B4D"/>
    <w:rsid w:val="00370C5F"/>
    <w:rsid w:val="00370E9A"/>
    <w:rsid w:val="003717F8"/>
    <w:rsid w:val="00371983"/>
    <w:rsid w:val="00373934"/>
    <w:rsid w:val="003769F4"/>
    <w:rsid w:val="00384FEC"/>
    <w:rsid w:val="00392450"/>
    <w:rsid w:val="00392584"/>
    <w:rsid w:val="003A0144"/>
    <w:rsid w:val="003A3557"/>
    <w:rsid w:val="003A450E"/>
    <w:rsid w:val="003A6E2A"/>
    <w:rsid w:val="003B4190"/>
    <w:rsid w:val="003B7265"/>
    <w:rsid w:val="003C05C6"/>
    <w:rsid w:val="003C0D8B"/>
    <w:rsid w:val="003C1D4F"/>
    <w:rsid w:val="003C6B8D"/>
    <w:rsid w:val="003C76E8"/>
    <w:rsid w:val="003E04D0"/>
    <w:rsid w:val="003E28C7"/>
    <w:rsid w:val="003E2AFD"/>
    <w:rsid w:val="003E3819"/>
    <w:rsid w:val="003E5A8B"/>
    <w:rsid w:val="003E6910"/>
    <w:rsid w:val="003E7156"/>
    <w:rsid w:val="003F0F64"/>
    <w:rsid w:val="003F454C"/>
    <w:rsid w:val="00400613"/>
    <w:rsid w:val="00400C92"/>
    <w:rsid w:val="00400ED5"/>
    <w:rsid w:val="00402A30"/>
    <w:rsid w:val="00405660"/>
    <w:rsid w:val="00410C8F"/>
    <w:rsid w:val="00414638"/>
    <w:rsid w:val="00420B03"/>
    <w:rsid w:val="004221A9"/>
    <w:rsid w:val="004251A3"/>
    <w:rsid w:val="00426C27"/>
    <w:rsid w:val="00426E98"/>
    <w:rsid w:val="0042733E"/>
    <w:rsid w:val="004309A6"/>
    <w:rsid w:val="00432378"/>
    <w:rsid w:val="00440B84"/>
    <w:rsid w:val="00442C81"/>
    <w:rsid w:val="00442EB8"/>
    <w:rsid w:val="00443D78"/>
    <w:rsid w:val="0045199F"/>
    <w:rsid w:val="00456177"/>
    <w:rsid w:val="00462340"/>
    <w:rsid w:val="004627F8"/>
    <w:rsid w:val="004658AA"/>
    <w:rsid w:val="00467492"/>
    <w:rsid w:val="004706F3"/>
    <w:rsid w:val="00470F63"/>
    <w:rsid w:val="00471B7A"/>
    <w:rsid w:val="004739F3"/>
    <w:rsid w:val="004740A4"/>
    <w:rsid w:val="004750F1"/>
    <w:rsid w:val="00476F53"/>
    <w:rsid w:val="00481351"/>
    <w:rsid w:val="0048304A"/>
    <w:rsid w:val="00484921"/>
    <w:rsid w:val="00487CF3"/>
    <w:rsid w:val="00490970"/>
    <w:rsid w:val="00491591"/>
    <w:rsid w:val="00491983"/>
    <w:rsid w:val="004932E8"/>
    <w:rsid w:val="00494BC7"/>
    <w:rsid w:val="004A1CCB"/>
    <w:rsid w:val="004A1E29"/>
    <w:rsid w:val="004A5462"/>
    <w:rsid w:val="004B49D4"/>
    <w:rsid w:val="004B7FB7"/>
    <w:rsid w:val="004C0263"/>
    <w:rsid w:val="004C6C95"/>
    <w:rsid w:val="004C71C9"/>
    <w:rsid w:val="004D2136"/>
    <w:rsid w:val="004D3386"/>
    <w:rsid w:val="004D5047"/>
    <w:rsid w:val="004D7BBB"/>
    <w:rsid w:val="004E0C9D"/>
    <w:rsid w:val="004E471B"/>
    <w:rsid w:val="004E5448"/>
    <w:rsid w:val="004E5695"/>
    <w:rsid w:val="004F40EB"/>
    <w:rsid w:val="004F5CFB"/>
    <w:rsid w:val="00506A86"/>
    <w:rsid w:val="0051286E"/>
    <w:rsid w:val="005129CD"/>
    <w:rsid w:val="00512CA2"/>
    <w:rsid w:val="0051377E"/>
    <w:rsid w:val="005173E3"/>
    <w:rsid w:val="0052188D"/>
    <w:rsid w:val="005218D9"/>
    <w:rsid w:val="005242FC"/>
    <w:rsid w:val="00525AEA"/>
    <w:rsid w:val="00532754"/>
    <w:rsid w:val="00532B31"/>
    <w:rsid w:val="00533B44"/>
    <w:rsid w:val="00537E3A"/>
    <w:rsid w:val="0054096B"/>
    <w:rsid w:val="00541F8C"/>
    <w:rsid w:val="005439D2"/>
    <w:rsid w:val="00543D78"/>
    <w:rsid w:val="00544A2B"/>
    <w:rsid w:val="00545300"/>
    <w:rsid w:val="00550950"/>
    <w:rsid w:val="00551C08"/>
    <w:rsid w:val="005529AC"/>
    <w:rsid w:val="005556FA"/>
    <w:rsid w:val="00556117"/>
    <w:rsid w:val="005613AE"/>
    <w:rsid w:val="005642E0"/>
    <w:rsid w:val="005651C1"/>
    <w:rsid w:val="0056688B"/>
    <w:rsid w:val="00575B9E"/>
    <w:rsid w:val="00577426"/>
    <w:rsid w:val="005807F0"/>
    <w:rsid w:val="00585368"/>
    <w:rsid w:val="005873CD"/>
    <w:rsid w:val="00587C5F"/>
    <w:rsid w:val="00594861"/>
    <w:rsid w:val="00594F85"/>
    <w:rsid w:val="00596D86"/>
    <w:rsid w:val="005A01DA"/>
    <w:rsid w:val="005A130B"/>
    <w:rsid w:val="005A1C95"/>
    <w:rsid w:val="005A1F72"/>
    <w:rsid w:val="005A4C44"/>
    <w:rsid w:val="005A4DA3"/>
    <w:rsid w:val="005A50BA"/>
    <w:rsid w:val="005A6CDE"/>
    <w:rsid w:val="005B1AE8"/>
    <w:rsid w:val="005C065C"/>
    <w:rsid w:val="005C70CA"/>
    <w:rsid w:val="005D7174"/>
    <w:rsid w:val="005E17F7"/>
    <w:rsid w:val="005E4995"/>
    <w:rsid w:val="005E67EB"/>
    <w:rsid w:val="005F1E7C"/>
    <w:rsid w:val="005F2564"/>
    <w:rsid w:val="005F25DA"/>
    <w:rsid w:val="005F3807"/>
    <w:rsid w:val="005F74D7"/>
    <w:rsid w:val="0060042A"/>
    <w:rsid w:val="006022A1"/>
    <w:rsid w:val="00613C21"/>
    <w:rsid w:val="006147E5"/>
    <w:rsid w:val="0061798B"/>
    <w:rsid w:val="00623334"/>
    <w:rsid w:val="00626A6A"/>
    <w:rsid w:val="006314C7"/>
    <w:rsid w:val="00632D2E"/>
    <w:rsid w:val="006333BB"/>
    <w:rsid w:val="0064009E"/>
    <w:rsid w:val="00640387"/>
    <w:rsid w:val="006455BF"/>
    <w:rsid w:val="006479E5"/>
    <w:rsid w:val="0066287B"/>
    <w:rsid w:val="006633AA"/>
    <w:rsid w:val="00666A0A"/>
    <w:rsid w:val="00667B20"/>
    <w:rsid w:val="006704B4"/>
    <w:rsid w:val="00670C8A"/>
    <w:rsid w:val="00671806"/>
    <w:rsid w:val="00673475"/>
    <w:rsid w:val="006737A4"/>
    <w:rsid w:val="006753DB"/>
    <w:rsid w:val="0067741C"/>
    <w:rsid w:val="00680236"/>
    <w:rsid w:val="006810EF"/>
    <w:rsid w:val="00681D56"/>
    <w:rsid w:val="00684B63"/>
    <w:rsid w:val="00685D82"/>
    <w:rsid w:val="00686789"/>
    <w:rsid w:val="006867C7"/>
    <w:rsid w:val="006868F2"/>
    <w:rsid w:val="00691A72"/>
    <w:rsid w:val="00692212"/>
    <w:rsid w:val="00692D82"/>
    <w:rsid w:val="0069338C"/>
    <w:rsid w:val="006A26E3"/>
    <w:rsid w:val="006A5AB6"/>
    <w:rsid w:val="006A63BF"/>
    <w:rsid w:val="006B15C5"/>
    <w:rsid w:val="006B168C"/>
    <w:rsid w:val="006B3428"/>
    <w:rsid w:val="006B3CFE"/>
    <w:rsid w:val="006B6D06"/>
    <w:rsid w:val="006C10F5"/>
    <w:rsid w:val="006C3128"/>
    <w:rsid w:val="006D1F33"/>
    <w:rsid w:val="006D43AA"/>
    <w:rsid w:val="006D506E"/>
    <w:rsid w:val="006E1215"/>
    <w:rsid w:val="006E152B"/>
    <w:rsid w:val="006E3054"/>
    <w:rsid w:val="006E4BCF"/>
    <w:rsid w:val="006E6E82"/>
    <w:rsid w:val="006F0833"/>
    <w:rsid w:val="006F0E86"/>
    <w:rsid w:val="006F1851"/>
    <w:rsid w:val="006F2BAA"/>
    <w:rsid w:val="006F2E34"/>
    <w:rsid w:val="006F3651"/>
    <w:rsid w:val="00705C6E"/>
    <w:rsid w:val="00706D80"/>
    <w:rsid w:val="007074F2"/>
    <w:rsid w:val="00707D43"/>
    <w:rsid w:val="007103C4"/>
    <w:rsid w:val="007120D2"/>
    <w:rsid w:val="00712820"/>
    <w:rsid w:val="00713CF8"/>
    <w:rsid w:val="007147DC"/>
    <w:rsid w:val="00717E67"/>
    <w:rsid w:val="00720C6B"/>
    <w:rsid w:val="00722D8A"/>
    <w:rsid w:val="007248BD"/>
    <w:rsid w:val="00725139"/>
    <w:rsid w:val="00730099"/>
    <w:rsid w:val="007312F2"/>
    <w:rsid w:val="007318B1"/>
    <w:rsid w:val="00731BFF"/>
    <w:rsid w:val="00732D8F"/>
    <w:rsid w:val="00735BE7"/>
    <w:rsid w:val="00736587"/>
    <w:rsid w:val="007401C4"/>
    <w:rsid w:val="0074025E"/>
    <w:rsid w:val="00740F7A"/>
    <w:rsid w:val="0074671D"/>
    <w:rsid w:val="007478C7"/>
    <w:rsid w:val="007510B2"/>
    <w:rsid w:val="007520F2"/>
    <w:rsid w:val="007534FC"/>
    <w:rsid w:val="007544BB"/>
    <w:rsid w:val="00761569"/>
    <w:rsid w:val="00761E4A"/>
    <w:rsid w:val="007632DD"/>
    <w:rsid w:val="0076481B"/>
    <w:rsid w:val="0076498B"/>
    <w:rsid w:val="007652F7"/>
    <w:rsid w:val="007669A2"/>
    <w:rsid w:val="00772644"/>
    <w:rsid w:val="0077593C"/>
    <w:rsid w:val="00775F91"/>
    <w:rsid w:val="00776EAD"/>
    <w:rsid w:val="00777F34"/>
    <w:rsid w:val="00780209"/>
    <w:rsid w:val="0078092E"/>
    <w:rsid w:val="0079029B"/>
    <w:rsid w:val="00790560"/>
    <w:rsid w:val="007916C6"/>
    <w:rsid w:val="007935A7"/>
    <w:rsid w:val="00795271"/>
    <w:rsid w:val="007960D8"/>
    <w:rsid w:val="00796580"/>
    <w:rsid w:val="007A11F2"/>
    <w:rsid w:val="007A2410"/>
    <w:rsid w:val="007A2FF0"/>
    <w:rsid w:val="007A4322"/>
    <w:rsid w:val="007A495F"/>
    <w:rsid w:val="007A4E2F"/>
    <w:rsid w:val="007A5348"/>
    <w:rsid w:val="007A5749"/>
    <w:rsid w:val="007B1B38"/>
    <w:rsid w:val="007B1DA5"/>
    <w:rsid w:val="007B5D3D"/>
    <w:rsid w:val="007C103A"/>
    <w:rsid w:val="007C218A"/>
    <w:rsid w:val="007C29B4"/>
    <w:rsid w:val="007C7328"/>
    <w:rsid w:val="007D0EF9"/>
    <w:rsid w:val="007D13AC"/>
    <w:rsid w:val="007D1913"/>
    <w:rsid w:val="007D65FB"/>
    <w:rsid w:val="007D6DA4"/>
    <w:rsid w:val="007E06C9"/>
    <w:rsid w:val="007E174B"/>
    <w:rsid w:val="007E352C"/>
    <w:rsid w:val="007E415D"/>
    <w:rsid w:val="007E5DE7"/>
    <w:rsid w:val="007F19B9"/>
    <w:rsid w:val="007F26F2"/>
    <w:rsid w:val="007F4791"/>
    <w:rsid w:val="007F4C29"/>
    <w:rsid w:val="007F5B3D"/>
    <w:rsid w:val="007F5DFA"/>
    <w:rsid w:val="007F638C"/>
    <w:rsid w:val="007F72B1"/>
    <w:rsid w:val="00800083"/>
    <w:rsid w:val="00801DF7"/>
    <w:rsid w:val="00802CB3"/>
    <w:rsid w:val="00803A3E"/>
    <w:rsid w:val="0080772B"/>
    <w:rsid w:val="008077EC"/>
    <w:rsid w:val="008129EF"/>
    <w:rsid w:val="00814FDD"/>
    <w:rsid w:val="008160B5"/>
    <w:rsid w:val="0081637E"/>
    <w:rsid w:val="00822750"/>
    <w:rsid w:val="00822D9E"/>
    <w:rsid w:val="00823281"/>
    <w:rsid w:val="00825F28"/>
    <w:rsid w:val="008274EE"/>
    <w:rsid w:val="00830EE9"/>
    <w:rsid w:val="008322ED"/>
    <w:rsid w:val="008332B4"/>
    <w:rsid w:val="008337E2"/>
    <w:rsid w:val="008351F4"/>
    <w:rsid w:val="00835307"/>
    <w:rsid w:val="008363CF"/>
    <w:rsid w:val="00841AE4"/>
    <w:rsid w:val="008439F9"/>
    <w:rsid w:val="00844A09"/>
    <w:rsid w:val="00845AEE"/>
    <w:rsid w:val="00846F58"/>
    <w:rsid w:val="008503B7"/>
    <w:rsid w:val="00850611"/>
    <w:rsid w:val="00853ACE"/>
    <w:rsid w:val="00855CB7"/>
    <w:rsid w:val="00856BD0"/>
    <w:rsid w:val="00860A63"/>
    <w:rsid w:val="00862CB0"/>
    <w:rsid w:val="008659C1"/>
    <w:rsid w:val="0086629A"/>
    <w:rsid w:val="00866968"/>
    <w:rsid w:val="00866BEB"/>
    <w:rsid w:val="00874904"/>
    <w:rsid w:val="00874CA7"/>
    <w:rsid w:val="00875601"/>
    <w:rsid w:val="00881988"/>
    <w:rsid w:val="00882D81"/>
    <w:rsid w:val="00886D8F"/>
    <w:rsid w:val="008906B0"/>
    <w:rsid w:val="0089275F"/>
    <w:rsid w:val="00895E31"/>
    <w:rsid w:val="008A4F18"/>
    <w:rsid w:val="008A547C"/>
    <w:rsid w:val="008A6DE1"/>
    <w:rsid w:val="008B0B13"/>
    <w:rsid w:val="008B18B6"/>
    <w:rsid w:val="008B1E8C"/>
    <w:rsid w:val="008B25EB"/>
    <w:rsid w:val="008B3825"/>
    <w:rsid w:val="008B6E70"/>
    <w:rsid w:val="008C3765"/>
    <w:rsid w:val="008C3F3C"/>
    <w:rsid w:val="008C43E5"/>
    <w:rsid w:val="008C515F"/>
    <w:rsid w:val="008C58EC"/>
    <w:rsid w:val="008C6080"/>
    <w:rsid w:val="008D39E2"/>
    <w:rsid w:val="008D7199"/>
    <w:rsid w:val="008E2FA5"/>
    <w:rsid w:val="008E3733"/>
    <w:rsid w:val="008E4370"/>
    <w:rsid w:val="008E470B"/>
    <w:rsid w:val="008F051F"/>
    <w:rsid w:val="008F11E6"/>
    <w:rsid w:val="008F12BC"/>
    <w:rsid w:val="008F149F"/>
    <w:rsid w:val="009037F5"/>
    <w:rsid w:val="00904A3F"/>
    <w:rsid w:val="00905662"/>
    <w:rsid w:val="009057B9"/>
    <w:rsid w:val="00906DA3"/>
    <w:rsid w:val="00910418"/>
    <w:rsid w:val="00912249"/>
    <w:rsid w:val="00925279"/>
    <w:rsid w:val="00926712"/>
    <w:rsid w:val="00927AAA"/>
    <w:rsid w:val="009338B6"/>
    <w:rsid w:val="009359B2"/>
    <w:rsid w:val="00937643"/>
    <w:rsid w:val="00937D8B"/>
    <w:rsid w:val="0094154F"/>
    <w:rsid w:val="00943679"/>
    <w:rsid w:val="00945908"/>
    <w:rsid w:val="00955593"/>
    <w:rsid w:val="00962CB6"/>
    <w:rsid w:val="00964586"/>
    <w:rsid w:val="009648CE"/>
    <w:rsid w:val="00966E47"/>
    <w:rsid w:val="0097143B"/>
    <w:rsid w:val="00972310"/>
    <w:rsid w:val="00973598"/>
    <w:rsid w:val="009748D0"/>
    <w:rsid w:val="00983973"/>
    <w:rsid w:val="00983A3C"/>
    <w:rsid w:val="0098439E"/>
    <w:rsid w:val="00986D49"/>
    <w:rsid w:val="0098774B"/>
    <w:rsid w:val="00994E12"/>
    <w:rsid w:val="0099656D"/>
    <w:rsid w:val="00997342"/>
    <w:rsid w:val="009A5204"/>
    <w:rsid w:val="009A59BF"/>
    <w:rsid w:val="009A789D"/>
    <w:rsid w:val="009A7A5B"/>
    <w:rsid w:val="009A7DDA"/>
    <w:rsid w:val="009B0FF6"/>
    <w:rsid w:val="009B1CB5"/>
    <w:rsid w:val="009B38C6"/>
    <w:rsid w:val="009B7618"/>
    <w:rsid w:val="009C1D09"/>
    <w:rsid w:val="009C4697"/>
    <w:rsid w:val="009C47E2"/>
    <w:rsid w:val="009C64D3"/>
    <w:rsid w:val="009C69EA"/>
    <w:rsid w:val="009D27E0"/>
    <w:rsid w:val="009D2AFB"/>
    <w:rsid w:val="009D524E"/>
    <w:rsid w:val="009E18E0"/>
    <w:rsid w:val="009F1A0E"/>
    <w:rsid w:val="009F1F6D"/>
    <w:rsid w:val="009F224C"/>
    <w:rsid w:val="009F23FE"/>
    <w:rsid w:val="009F36AA"/>
    <w:rsid w:val="009F3B1C"/>
    <w:rsid w:val="009F4003"/>
    <w:rsid w:val="009F556D"/>
    <w:rsid w:val="00A01077"/>
    <w:rsid w:val="00A04EE7"/>
    <w:rsid w:val="00A065E9"/>
    <w:rsid w:val="00A11DA1"/>
    <w:rsid w:val="00A14665"/>
    <w:rsid w:val="00A15209"/>
    <w:rsid w:val="00A15C07"/>
    <w:rsid w:val="00A1606B"/>
    <w:rsid w:val="00A1674B"/>
    <w:rsid w:val="00A16F47"/>
    <w:rsid w:val="00A2539F"/>
    <w:rsid w:val="00A25542"/>
    <w:rsid w:val="00A318DF"/>
    <w:rsid w:val="00A32D26"/>
    <w:rsid w:val="00A33357"/>
    <w:rsid w:val="00A37519"/>
    <w:rsid w:val="00A37DA6"/>
    <w:rsid w:val="00A4072B"/>
    <w:rsid w:val="00A41731"/>
    <w:rsid w:val="00A43779"/>
    <w:rsid w:val="00A44624"/>
    <w:rsid w:val="00A44889"/>
    <w:rsid w:val="00A45C93"/>
    <w:rsid w:val="00A46142"/>
    <w:rsid w:val="00A465E5"/>
    <w:rsid w:val="00A52B9B"/>
    <w:rsid w:val="00A52EA2"/>
    <w:rsid w:val="00A53DF1"/>
    <w:rsid w:val="00A57902"/>
    <w:rsid w:val="00A61C34"/>
    <w:rsid w:val="00A62AD2"/>
    <w:rsid w:val="00A63483"/>
    <w:rsid w:val="00A67F07"/>
    <w:rsid w:val="00A67F26"/>
    <w:rsid w:val="00A700C1"/>
    <w:rsid w:val="00A7203E"/>
    <w:rsid w:val="00A8238D"/>
    <w:rsid w:val="00A84EF7"/>
    <w:rsid w:val="00A92A1E"/>
    <w:rsid w:val="00A944FD"/>
    <w:rsid w:val="00AA299E"/>
    <w:rsid w:val="00AA3307"/>
    <w:rsid w:val="00AB09D6"/>
    <w:rsid w:val="00AB49BD"/>
    <w:rsid w:val="00AB5028"/>
    <w:rsid w:val="00AB67EB"/>
    <w:rsid w:val="00AC1CD3"/>
    <w:rsid w:val="00AC3E7D"/>
    <w:rsid w:val="00AC40A1"/>
    <w:rsid w:val="00AC4816"/>
    <w:rsid w:val="00AC5D95"/>
    <w:rsid w:val="00AD0A69"/>
    <w:rsid w:val="00AD0C27"/>
    <w:rsid w:val="00AD1BCE"/>
    <w:rsid w:val="00AD1F0F"/>
    <w:rsid w:val="00AD2557"/>
    <w:rsid w:val="00AD532E"/>
    <w:rsid w:val="00AD5FA9"/>
    <w:rsid w:val="00AE076D"/>
    <w:rsid w:val="00AE3F08"/>
    <w:rsid w:val="00AE5D40"/>
    <w:rsid w:val="00AE758F"/>
    <w:rsid w:val="00AF068D"/>
    <w:rsid w:val="00AF244E"/>
    <w:rsid w:val="00AF451C"/>
    <w:rsid w:val="00AF68E4"/>
    <w:rsid w:val="00AF7E33"/>
    <w:rsid w:val="00B02068"/>
    <w:rsid w:val="00B02478"/>
    <w:rsid w:val="00B02B38"/>
    <w:rsid w:val="00B02DE0"/>
    <w:rsid w:val="00B0403E"/>
    <w:rsid w:val="00B07EEC"/>
    <w:rsid w:val="00B10A02"/>
    <w:rsid w:val="00B10B83"/>
    <w:rsid w:val="00B11D16"/>
    <w:rsid w:val="00B13666"/>
    <w:rsid w:val="00B145CF"/>
    <w:rsid w:val="00B1486F"/>
    <w:rsid w:val="00B15189"/>
    <w:rsid w:val="00B22BC6"/>
    <w:rsid w:val="00B248A1"/>
    <w:rsid w:val="00B2684B"/>
    <w:rsid w:val="00B27273"/>
    <w:rsid w:val="00B27BAE"/>
    <w:rsid w:val="00B306A6"/>
    <w:rsid w:val="00B308C0"/>
    <w:rsid w:val="00B32E21"/>
    <w:rsid w:val="00B33B4E"/>
    <w:rsid w:val="00B40646"/>
    <w:rsid w:val="00B44785"/>
    <w:rsid w:val="00B46F2D"/>
    <w:rsid w:val="00B5046D"/>
    <w:rsid w:val="00B526A2"/>
    <w:rsid w:val="00B5301B"/>
    <w:rsid w:val="00B53A36"/>
    <w:rsid w:val="00B55A1F"/>
    <w:rsid w:val="00B55CA6"/>
    <w:rsid w:val="00B62C86"/>
    <w:rsid w:val="00B63DA4"/>
    <w:rsid w:val="00B66FA0"/>
    <w:rsid w:val="00B70DE4"/>
    <w:rsid w:val="00B723C9"/>
    <w:rsid w:val="00B73D41"/>
    <w:rsid w:val="00B752B9"/>
    <w:rsid w:val="00B779C6"/>
    <w:rsid w:val="00B8289A"/>
    <w:rsid w:val="00B839C2"/>
    <w:rsid w:val="00B8584F"/>
    <w:rsid w:val="00B85936"/>
    <w:rsid w:val="00B9004A"/>
    <w:rsid w:val="00B90930"/>
    <w:rsid w:val="00B918EC"/>
    <w:rsid w:val="00B96711"/>
    <w:rsid w:val="00B97EBF"/>
    <w:rsid w:val="00BA206F"/>
    <w:rsid w:val="00BA52F2"/>
    <w:rsid w:val="00BA55EF"/>
    <w:rsid w:val="00BA57D8"/>
    <w:rsid w:val="00BA5AB2"/>
    <w:rsid w:val="00BA7C20"/>
    <w:rsid w:val="00BB04D3"/>
    <w:rsid w:val="00BB1D1F"/>
    <w:rsid w:val="00BB66DB"/>
    <w:rsid w:val="00BB7372"/>
    <w:rsid w:val="00BC3845"/>
    <w:rsid w:val="00BC53EE"/>
    <w:rsid w:val="00BD1FE2"/>
    <w:rsid w:val="00BD35C7"/>
    <w:rsid w:val="00BD4A7C"/>
    <w:rsid w:val="00BD4C3E"/>
    <w:rsid w:val="00BE0CE8"/>
    <w:rsid w:val="00BE0E2B"/>
    <w:rsid w:val="00BE14B1"/>
    <w:rsid w:val="00BE1D2E"/>
    <w:rsid w:val="00BE5FF0"/>
    <w:rsid w:val="00BF011A"/>
    <w:rsid w:val="00BF0FE8"/>
    <w:rsid w:val="00BF3197"/>
    <w:rsid w:val="00BF72EB"/>
    <w:rsid w:val="00BF7601"/>
    <w:rsid w:val="00C0211B"/>
    <w:rsid w:val="00C04220"/>
    <w:rsid w:val="00C04FAF"/>
    <w:rsid w:val="00C050FD"/>
    <w:rsid w:val="00C06F00"/>
    <w:rsid w:val="00C10113"/>
    <w:rsid w:val="00C12DEF"/>
    <w:rsid w:val="00C13513"/>
    <w:rsid w:val="00C15B8B"/>
    <w:rsid w:val="00C20046"/>
    <w:rsid w:val="00C20EAD"/>
    <w:rsid w:val="00C24850"/>
    <w:rsid w:val="00C26D0E"/>
    <w:rsid w:val="00C32BF3"/>
    <w:rsid w:val="00C33922"/>
    <w:rsid w:val="00C4053F"/>
    <w:rsid w:val="00C4387E"/>
    <w:rsid w:val="00C5132A"/>
    <w:rsid w:val="00C54886"/>
    <w:rsid w:val="00C56AFD"/>
    <w:rsid w:val="00C57EAB"/>
    <w:rsid w:val="00C611E5"/>
    <w:rsid w:val="00C73D5C"/>
    <w:rsid w:val="00C75E4A"/>
    <w:rsid w:val="00C76852"/>
    <w:rsid w:val="00C822DC"/>
    <w:rsid w:val="00C90C14"/>
    <w:rsid w:val="00C917B8"/>
    <w:rsid w:val="00C92346"/>
    <w:rsid w:val="00C96C01"/>
    <w:rsid w:val="00C97555"/>
    <w:rsid w:val="00CA0F2D"/>
    <w:rsid w:val="00CA26A8"/>
    <w:rsid w:val="00CA3211"/>
    <w:rsid w:val="00CA4094"/>
    <w:rsid w:val="00CA5912"/>
    <w:rsid w:val="00CB061C"/>
    <w:rsid w:val="00CB3392"/>
    <w:rsid w:val="00CB39D0"/>
    <w:rsid w:val="00CB3B6B"/>
    <w:rsid w:val="00CB59A9"/>
    <w:rsid w:val="00CB68BD"/>
    <w:rsid w:val="00CB6E5B"/>
    <w:rsid w:val="00CC166C"/>
    <w:rsid w:val="00CC403E"/>
    <w:rsid w:val="00CC574F"/>
    <w:rsid w:val="00CC5DA9"/>
    <w:rsid w:val="00CC6E3E"/>
    <w:rsid w:val="00CD18B8"/>
    <w:rsid w:val="00CD21AD"/>
    <w:rsid w:val="00CD37FC"/>
    <w:rsid w:val="00CD5815"/>
    <w:rsid w:val="00CD61EC"/>
    <w:rsid w:val="00CE126B"/>
    <w:rsid w:val="00CE1939"/>
    <w:rsid w:val="00CE7929"/>
    <w:rsid w:val="00CE7AD8"/>
    <w:rsid w:val="00CF08A2"/>
    <w:rsid w:val="00CF0B9C"/>
    <w:rsid w:val="00CF33B6"/>
    <w:rsid w:val="00CF48E0"/>
    <w:rsid w:val="00CF4A9E"/>
    <w:rsid w:val="00CF4EEF"/>
    <w:rsid w:val="00D0654E"/>
    <w:rsid w:val="00D12A0B"/>
    <w:rsid w:val="00D14C6E"/>
    <w:rsid w:val="00D16DC0"/>
    <w:rsid w:val="00D21919"/>
    <w:rsid w:val="00D30CE9"/>
    <w:rsid w:val="00D35DB7"/>
    <w:rsid w:val="00D365E3"/>
    <w:rsid w:val="00D4342D"/>
    <w:rsid w:val="00D54092"/>
    <w:rsid w:val="00D56704"/>
    <w:rsid w:val="00D56E2C"/>
    <w:rsid w:val="00D60193"/>
    <w:rsid w:val="00D60444"/>
    <w:rsid w:val="00D60ABE"/>
    <w:rsid w:val="00D656C5"/>
    <w:rsid w:val="00D66BE2"/>
    <w:rsid w:val="00D66CF8"/>
    <w:rsid w:val="00D6714C"/>
    <w:rsid w:val="00D67F9C"/>
    <w:rsid w:val="00D72309"/>
    <w:rsid w:val="00D73D5C"/>
    <w:rsid w:val="00D75878"/>
    <w:rsid w:val="00D758C9"/>
    <w:rsid w:val="00D76800"/>
    <w:rsid w:val="00D76851"/>
    <w:rsid w:val="00D810BD"/>
    <w:rsid w:val="00D859CD"/>
    <w:rsid w:val="00D86A24"/>
    <w:rsid w:val="00D90B0A"/>
    <w:rsid w:val="00D91EB7"/>
    <w:rsid w:val="00D96E5B"/>
    <w:rsid w:val="00DA2C78"/>
    <w:rsid w:val="00DA2CE0"/>
    <w:rsid w:val="00DB3662"/>
    <w:rsid w:val="00DB46F9"/>
    <w:rsid w:val="00DB61E8"/>
    <w:rsid w:val="00DB68DB"/>
    <w:rsid w:val="00DB6F72"/>
    <w:rsid w:val="00DC1DF8"/>
    <w:rsid w:val="00DC4E8E"/>
    <w:rsid w:val="00DD0218"/>
    <w:rsid w:val="00DD06B9"/>
    <w:rsid w:val="00DD49D2"/>
    <w:rsid w:val="00DE02E6"/>
    <w:rsid w:val="00DE1C2F"/>
    <w:rsid w:val="00DE2791"/>
    <w:rsid w:val="00DE57E4"/>
    <w:rsid w:val="00DE5C18"/>
    <w:rsid w:val="00DE770F"/>
    <w:rsid w:val="00DE7D51"/>
    <w:rsid w:val="00DF0328"/>
    <w:rsid w:val="00DF0AE3"/>
    <w:rsid w:val="00DF1115"/>
    <w:rsid w:val="00DF12CA"/>
    <w:rsid w:val="00DF337B"/>
    <w:rsid w:val="00DF7300"/>
    <w:rsid w:val="00E00A63"/>
    <w:rsid w:val="00E02953"/>
    <w:rsid w:val="00E032E1"/>
    <w:rsid w:val="00E063B5"/>
    <w:rsid w:val="00E1070F"/>
    <w:rsid w:val="00E13407"/>
    <w:rsid w:val="00E159B7"/>
    <w:rsid w:val="00E15BF2"/>
    <w:rsid w:val="00E16605"/>
    <w:rsid w:val="00E2016C"/>
    <w:rsid w:val="00E22B8E"/>
    <w:rsid w:val="00E24D21"/>
    <w:rsid w:val="00E25E8F"/>
    <w:rsid w:val="00E25FE2"/>
    <w:rsid w:val="00E340CB"/>
    <w:rsid w:val="00E343E7"/>
    <w:rsid w:val="00E35059"/>
    <w:rsid w:val="00E35772"/>
    <w:rsid w:val="00E378BB"/>
    <w:rsid w:val="00E4023F"/>
    <w:rsid w:val="00E4041A"/>
    <w:rsid w:val="00E40F51"/>
    <w:rsid w:val="00E410BE"/>
    <w:rsid w:val="00E43F3A"/>
    <w:rsid w:val="00E50379"/>
    <w:rsid w:val="00E54069"/>
    <w:rsid w:val="00E54D94"/>
    <w:rsid w:val="00E564AC"/>
    <w:rsid w:val="00E56543"/>
    <w:rsid w:val="00E6121A"/>
    <w:rsid w:val="00E63CB1"/>
    <w:rsid w:val="00E65DF9"/>
    <w:rsid w:val="00E679C9"/>
    <w:rsid w:val="00E7101F"/>
    <w:rsid w:val="00E75196"/>
    <w:rsid w:val="00E75434"/>
    <w:rsid w:val="00E76C3A"/>
    <w:rsid w:val="00E80714"/>
    <w:rsid w:val="00E831F7"/>
    <w:rsid w:val="00E850AB"/>
    <w:rsid w:val="00E91687"/>
    <w:rsid w:val="00E91F8A"/>
    <w:rsid w:val="00E93ED7"/>
    <w:rsid w:val="00E953B7"/>
    <w:rsid w:val="00E960AE"/>
    <w:rsid w:val="00E96887"/>
    <w:rsid w:val="00E977EC"/>
    <w:rsid w:val="00EA1B2F"/>
    <w:rsid w:val="00EA3106"/>
    <w:rsid w:val="00EA33D7"/>
    <w:rsid w:val="00EA5F75"/>
    <w:rsid w:val="00EA63A0"/>
    <w:rsid w:val="00EB2F44"/>
    <w:rsid w:val="00EB6F7A"/>
    <w:rsid w:val="00EC5F23"/>
    <w:rsid w:val="00EC7702"/>
    <w:rsid w:val="00ED4073"/>
    <w:rsid w:val="00ED5CA6"/>
    <w:rsid w:val="00EE2FC1"/>
    <w:rsid w:val="00EE3227"/>
    <w:rsid w:val="00EE3745"/>
    <w:rsid w:val="00EE3F4D"/>
    <w:rsid w:val="00EE6F45"/>
    <w:rsid w:val="00EF1525"/>
    <w:rsid w:val="00EF2BAB"/>
    <w:rsid w:val="00EF4085"/>
    <w:rsid w:val="00EF4D7C"/>
    <w:rsid w:val="00EF4E2C"/>
    <w:rsid w:val="00F02ACB"/>
    <w:rsid w:val="00F02BA5"/>
    <w:rsid w:val="00F0356B"/>
    <w:rsid w:val="00F05AA9"/>
    <w:rsid w:val="00F06B52"/>
    <w:rsid w:val="00F10F61"/>
    <w:rsid w:val="00F14361"/>
    <w:rsid w:val="00F1778C"/>
    <w:rsid w:val="00F17995"/>
    <w:rsid w:val="00F17C8F"/>
    <w:rsid w:val="00F21E41"/>
    <w:rsid w:val="00F22E39"/>
    <w:rsid w:val="00F24583"/>
    <w:rsid w:val="00F3065B"/>
    <w:rsid w:val="00F33480"/>
    <w:rsid w:val="00F34C1C"/>
    <w:rsid w:val="00F360C1"/>
    <w:rsid w:val="00F36178"/>
    <w:rsid w:val="00F3634C"/>
    <w:rsid w:val="00F3751D"/>
    <w:rsid w:val="00F40E23"/>
    <w:rsid w:val="00F42CC4"/>
    <w:rsid w:val="00F43189"/>
    <w:rsid w:val="00F43409"/>
    <w:rsid w:val="00F51643"/>
    <w:rsid w:val="00F52B62"/>
    <w:rsid w:val="00F56800"/>
    <w:rsid w:val="00F60B06"/>
    <w:rsid w:val="00F61B14"/>
    <w:rsid w:val="00F67D6D"/>
    <w:rsid w:val="00F714AB"/>
    <w:rsid w:val="00F726B4"/>
    <w:rsid w:val="00F7308C"/>
    <w:rsid w:val="00F73D2F"/>
    <w:rsid w:val="00F7424E"/>
    <w:rsid w:val="00F74AC5"/>
    <w:rsid w:val="00F76849"/>
    <w:rsid w:val="00F83198"/>
    <w:rsid w:val="00F83DF5"/>
    <w:rsid w:val="00F84CF4"/>
    <w:rsid w:val="00F86787"/>
    <w:rsid w:val="00F92014"/>
    <w:rsid w:val="00F92FB7"/>
    <w:rsid w:val="00F934DC"/>
    <w:rsid w:val="00F944E2"/>
    <w:rsid w:val="00F949EC"/>
    <w:rsid w:val="00F9736D"/>
    <w:rsid w:val="00F975D2"/>
    <w:rsid w:val="00FA08BB"/>
    <w:rsid w:val="00FA38CB"/>
    <w:rsid w:val="00FB070D"/>
    <w:rsid w:val="00FB25A9"/>
    <w:rsid w:val="00FB41D7"/>
    <w:rsid w:val="00FC2B4E"/>
    <w:rsid w:val="00FC7551"/>
    <w:rsid w:val="00FD12F3"/>
    <w:rsid w:val="00FE1867"/>
    <w:rsid w:val="00FE366B"/>
    <w:rsid w:val="00FE68C9"/>
    <w:rsid w:val="00FE7D81"/>
    <w:rsid w:val="010D10ED"/>
    <w:rsid w:val="02643BAC"/>
    <w:rsid w:val="036C3A86"/>
    <w:rsid w:val="03F0578F"/>
    <w:rsid w:val="045A34C8"/>
    <w:rsid w:val="04C855E8"/>
    <w:rsid w:val="05543C85"/>
    <w:rsid w:val="060F0CAE"/>
    <w:rsid w:val="065D68A2"/>
    <w:rsid w:val="075E342F"/>
    <w:rsid w:val="08A3076F"/>
    <w:rsid w:val="08BF6AC0"/>
    <w:rsid w:val="0900467A"/>
    <w:rsid w:val="092A612E"/>
    <w:rsid w:val="0971078D"/>
    <w:rsid w:val="098B0E21"/>
    <w:rsid w:val="09AB3F6E"/>
    <w:rsid w:val="0B11464A"/>
    <w:rsid w:val="0B1822CF"/>
    <w:rsid w:val="0CF975C8"/>
    <w:rsid w:val="0D233E1E"/>
    <w:rsid w:val="0D4A79EC"/>
    <w:rsid w:val="0DA87650"/>
    <w:rsid w:val="0DF7707F"/>
    <w:rsid w:val="0EB93A4A"/>
    <w:rsid w:val="0EBF3CB9"/>
    <w:rsid w:val="0F06134A"/>
    <w:rsid w:val="0F6B0394"/>
    <w:rsid w:val="0F87344A"/>
    <w:rsid w:val="0F9162BE"/>
    <w:rsid w:val="12621F09"/>
    <w:rsid w:val="12C357BC"/>
    <w:rsid w:val="13746844"/>
    <w:rsid w:val="14267638"/>
    <w:rsid w:val="1597574B"/>
    <w:rsid w:val="169B6CA3"/>
    <w:rsid w:val="17686E60"/>
    <w:rsid w:val="17810397"/>
    <w:rsid w:val="18341F98"/>
    <w:rsid w:val="19123581"/>
    <w:rsid w:val="199C0042"/>
    <w:rsid w:val="19B7571B"/>
    <w:rsid w:val="1A626FE2"/>
    <w:rsid w:val="1AB1670D"/>
    <w:rsid w:val="1AC53994"/>
    <w:rsid w:val="1AFB68B8"/>
    <w:rsid w:val="1B227381"/>
    <w:rsid w:val="1B267619"/>
    <w:rsid w:val="1B433F6B"/>
    <w:rsid w:val="1BFF3324"/>
    <w:rsid w:val="1D362983"/>
    <w:rsid w:val="1DC0576E"/>
    <w:rsid w:val="1E802346"/>
    <w:rsid w:val="1ED375BC"/>
    <w:rsid w:val="1F3E358B"/>
    <w:rsid w:val="202C6B11"/>
    <w:rsid w:val="204166A2"/>
    <w:rsid w:val="219C4C5B"/>
    <w:rsid w:val="22343F23"/>
    <w:rsid w:val="22834E7A"/>
    <w:rsid w:val="22A314FF"/>
    <w:rsid w:val="235429C5"/>
    <w:rsid w:val="23B83D1C"/>
    <w:rsid w:val="25CA0EC6"/>
    <w:rsid w:val="26B51918"/>
    <w:rsid w:val="27B67902"/>
    <w:rsid w:val="27D12CB6"/>
    <w:rsid w:val="28FA14F0"/>
    <w:rsid w:val="298537BF"/>
    <w:rsid w:val="2AF0709B"/>
    <w:rsid w:val="2B0207C6"/>
    <w:rsid w:val="2B960710"/>
    <w:rsid w:val="2BB12D8E"/>
    <w:rsid w:val="2BF1483B"/>
    <w:rsid w:val="2BFB3DF7"/>
    <w:rsid w:val="2C722066"/>
    <w:rsid w:val="2C925DE2"/>
    <w:rsid w:val="2CCB3E0A"/>
    <w:rsid w:val="2CED0D16"/>
    <w:rsid w:val="2D523DAF"/>
    <w:rsid w:val="2D882BE9"/>
    <w:rsid w:val="2DB57273"/>
    <w:rsid w:val="2E5E1A02"/>
    <w:rsid w:val="2E821F50"/>
    <w:rsid w:val="2FA32472"/>
    <w:rsid w:val="2FDA52DB"/>
    <w:rsid w:val="306C24AE"/>
    <w:rsid w:val="311455C6"/>
    <w:rsid w:val="317A3137"/>
    <w:rsid w:val="319D7468"/>
    <w:rsid w:val="319F11D7"/>
    <w:rsid w:val="31AA351F"/>
    <w:rsid w:val="3248131A"/>
    <w:rsid w:val="32577A0C"/>
    <w:rsid w:val="32B4469E"/>
    <w:rsid w:val="32C7230F"/>
    <w:rsid w:val="33D17E9D"/>
    <w:rsid w:val="340650EC"/>
    <w:rsid w:val="34D545B7"/>
    <w:rsid w:val="35807563"/>
    <w:rsid w:val="35B01DA4"/>
    <w:rsid w:val="35FF5CDB"/>
    <w:rsid w:val="365F7E2A"/>
    <w:rsid w:val="366E1A0A"/>
    <w:rsid w:val="36D3678C"/>
    <w:rsid w:val="38D75F0F"/>
    <w:rsid w:val="394703F6"/>
    <w:rsid w:val="39FC3DD8"/>
    <w:rsid w:val="3A795323"/>
    <w:rsid w:val="3AD1629F"/>
    <w:rsid w:val="3B6651CF"/>
    <w:rsid w:val="3B970AE5"/>
    <w:rsid w:val="3BDF71A5"/>
    <w:rsid w:val="3C147FD9"/>
    <w:rsid w:val="3CDF289A"/>
    <w:rsid w:val="3CF15A23"/>
    <w:rsid w:val="3DCF57E8"/>
    <w:rsid w:val="3E453285"/>
    <w:rsid w:val="3E6F5986"/>
    <w:rsid w:val="3E7929CE"/>
    <w:rsid w:val="3EA11583"/>
    <w:rsid w:val="3F59227A"/>
    <w:rsid w:val="3F5A1806"/>
    <w:rsid w:val="40D73C6F"/>
    <w:rsid w:val="4129115E"/>
    <w:rsid w:val="417A27E1"/>
    <w:rsid w:val="42B570A8"/>
    <w:rsid w:val="42F46EBA"/>
    <w:rsid w:val="42FC0451"/>
    <w:rsid w:val="436752C7"/>
    <w:rsid w:val="4380257B"/>
    <w:rsid w:val="44627B3F"/>
    <w:rsid w:val="44A213FC"/>
    <w:rsid w:val="44DB1FE6"/>
    <w:rsid w:val="45467A03"/>
    <w:rsid w:val="45C43491"/>
    <w:rsid w:val="45E0283C"/>
    <w:rsid w:val="46081DBB"/>
    <w:rsid w:val="46F251F5"/>
    <w:rsid w:val="47262F28"/>
    <w:rsid w:val="47C64662"/>
    <w:rsid w:val="48290F84"/>
    <w:rsid w:val="48363B44"/>
    <w:rsid w:val="484F1C98"/>
    <w:rsid w:val="48800FEE"/>
    <w:rsid w:val="48CA3B3A"/>
    <w:rsid w:val="48F83DCE"/>
    <w:rsid w:val="4A4F7E14"/>
    <w:rsid w:val="4B434B5C"/>
    <w:rsid w:val="4B712E37"/>
    <w:rsid w:val="4BDC0204"/>
    <w:rsid w:val="4DC97A7A"/>
    <w:rsid w:val="4DD867CF"/>
    <w:rsid w:val="4DFD7290"/>
    <w:rsid w:val="4DFE702E"/>
    <w:rsid w:val="4E793707"/>
    <w:rsid w:val="4EF71352"/>
    <w:rsid w:val="4F583B74"/>
    <w:rsid w:val="50A335C1"/>
    <w:rsid w:val="51601C51"/>
    <w:rsid w:val="51A22EED"/>
    <w:rsid w:val="51C136A7"/>
    <w:rsid w:val="522204EB"/>
    <w:rsid w:val="52DA6302"/>
    <w:rsid w:val="53B025F1"/>
    <w:rsid w:val="548B3512"/>
    <w:rsid w:val="55C86DB2"/>
    <w:rsid w:val="561C1E08"/>
    <w:rsid w:val="57A60D84"/>
    <w:rsid w:val="57CF8860"/>
    <w:rsid w:val="58AA488C"/>
    <w:rsid w:val="593A28D9"/>
    <w:rsid w:val="59875F52"/>
    <w:rsid w:val="5999312B"/>
    <w:rsid w:val="59ED023B"/>
    <w:rsid w:val="5A096EEA"/>
    <w:rsid w:val="5B49626F"/>
    <w:rsid w:val="5C205A35"/>
    <w:rsid w:val="5CB94BD5"/>
    <w:rsid w:val="5CC5486C"/>
    <w:rsid w:val="5CCE7FF0"/>
    <w:rsid w:val="5CD921C2"/>
    <w:rsid w:val="5D5F5E57"/>
    <w:rsid w:val="5F2D1568"/>
    <w:rsid w:val="5F7F1FE1"/>
    <w:rsid w:val="600E5B66"/>
    <w:rsid w:val="60492450"/>
    <w:rsid w:val="60A57403"/>
    <w:rsid w:val="610C7CE3"/>
    <w:rsid w:val="6397059F"/>
    <w:rsid w:val="63AC2143"/>
    <w:rsid w:val="63F94C38"/>
    <w:rsid w:val="63FA2D75"/>
    <w:rsid w:val="652F3234"/>
    <w:rsid w:val="654853E1"/>
    <w:rsid w:val="6556302B"/>
    <w:rsid w:val="65D03871"/>
    <w:rsid w:val="66EB58D7"/>
    <w:rsid w:val="66F83B5B"/>
    <w:rsid w:val="674B1B2C"/>
    <w:rsid w:val="6768060C"/>
    <w:rsid w:val="67B04FA2"/>
    <w:rsid w:val="684536DE"/>
    <w:rsid w:val="687070E3"/>
    <w:rsid w:val="68B85020"/>
    <w:rsid w:val="6A7B381E"/>
    <w:rsid w:val="6C5175B8"/>
    <w:rsid w:val="6D49053D"/>
    <w:rsid w:val="6F9562EB"/>
    <w:rsid w:val="6FB06DC9"/>
    <w:rsid w:val="71DB1333"/>
    <w:rsid w:val="726F4497"/>
    <w:rsid w:val="735101E0"/>
    <w:rsid w:val="73DA3879"/>
    <w:rsid w:val="75530365"/>
    <w:rsid w:val="75952F55"/>
    <w:rsid w:val="77E933E2"/>
    <w:rsid w:val="78245389"/>
    <w:rsid w:val="78332C4B"/>
    <w:rsid w:val="78D26542"/>
    <w:rsid w:val="790D16FC"/>
    <w:rsid w:val="79667D66"/>
    <w:rsid w:val="79B72BC7"/>
    <w:rsid w:val="79D96F7D"/>
    <w:rsid w:val="7A227404"/>
    <w:rsid w:val="7A6B4851"/>
    <w:rsid w:val="7AFF2F13"/>
    <w:rsid w:val="7CFFC148"/>
    <w:rsid w:val="7D79123E"/>
    <w:rsid w:val="7DF86D46"/>
    <w:rsid w:val="7EEB8CED"/>
    <w:rsid w:val="7F6253EE"/>
    <w:rsid w:val="7FF86D8B"/>
    <w:rsid w:val="7FFB2412"/>
    <w:rsid w:val="B7A7276E"/>
    <w:rsid w:val="DFFB1E37"/>
    <w:rsid w:val="ED9D6F92"/>
    <w:rsid w:val="F5B7BC14"/>
    <w:rsid w:val="F9F5D682"/>
    <w:rsid w:val="FEBEEB4B"/>
    <w:rsid w:val="FEFCEF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99"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99" w:semiHidden="0" w:name="Subtitle"/>
    <w:lsdException w:unhideWhenUsed="0" w:uiPriority="0" w:semiHidden="0" w:name="Salutation"/>
    <w:lsdException w:qFormat="1"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482" w:firstLineChars="200"/>
      <w:jc w:val="both"/>
    </w:pPr>
    <w:rPr>
      <w:rFonts w:ascii="仿宋" w:hAnsi="仿宋" w:eastAsia="仿宋" w:cs="Times New Roman"/>
      <w:kern w:val="2"/>
      <w:sz w:val="24"/>
      <w:szCs w:val="24"/>
      <w:lang w:val="en-US" w:eastAsia="zh-CN" w:bidi="ar-SA"/>
    </w:rPr>
  </w:style>
  <w:style w:type="paragraph" w:styleId="5">
    <w:name w:val="heading 1"/>
    <w:basedOn w:val="1"/>
    <w:next w:val="1"/>
    <w:link w:val="40"/>
    <w:autoRedefine/>
    <w:qFormat/>
    <w:uiPriority w:val="99"/>
    <w:pPr>
      <w:pageBreakBefore/>
      <w:tabs>
        <w:tab w:val="left" w:pos="0"/>
      </w:tabs>
      <w:spacing w:before="240" w:after="240"/>
      <w:ind w:firstLine="0" w:firstLineChars="0"/>
      <w:outlineLvl w:val="0"/>
    </w:pPr>
    <w:rPr>
      <w:b/>
      <w:sz w:val="36"/>
    </w:rPr>
  </w:style>
  <w:style w:type="paragraph" w:styleId="6">
    <w:name w:val="heading 2"/>
    <w:basedOn w:val="1"/>
    <w:next w:val="1"/>
    <w:link w:val="42"/>
    <w:autoRedefine/>
    <w:qFormat/>
    <w:uiPriority w:val="99"/>
    <w:pPr>
      <w:keepNext/>
      <w:tabs>
        <w:tab w:val="left" w:pos="0"/>
      </w:tabs>
      <w:spacing w:before="120" w:after="120"/>
      <w:ind w:firstLine="0" w:firstLineChars="0"/>
      <w:outlineLvl w:val="1"/>
    </w:pPr>
    <w:rPr>
      <w:b/>
      <w:sz w:val="32"/>
    </w:rPr>
  </w:style>
  <w:style w:type="paragraph" w:styleId="7">
    <w:name w:val="heading 3"/>
    <w:basedOn w:val="1"/>
    <w:next w:val="1"/>
    <w:link w:val="41"/>
    <w:autoRedefine/>
    <w:qFormat/>
    <w:uiPriority w:val="99"/>
    <w:pPr>
      <w:keepNext/>
      <w:keepLines/>
      <w:tabs>
        <w:tab w:val="left" w:pos="0"/>
      </w:tabs>
      <w:spacing w:before="60" w:after="60"/>
      <w:ind w:left="480" w:leftChars="200" w:firstLine="0" w:firstLineChars="0"/>
      <w:outlineLvl w:val="2"/>
    </w:pPr>
    <w:rPr>
      <w:b/>
      <w:sz w:val="30"/>
    </w:rPr>
  </w:style>
  <w:style w:type="paragraph" w:styleId="8">
    <w:name w:val="heading 4"/>
    <w:basedOn w:val="1"/>
    <w:next w:val="1"/>
    <w:link w:val="43"/>
    <w:autoRedefine/>
    <w:qFormat/>
    <w:uiPriority w:val="99"/>
    <w:pPr>
      <w:keepNext/>
      <w:tabs>
        <w:tab w:val="left" w:pos="0"/>
      </w:tabs>
      <w:outlineLvl w:val="3"/>
    </w:pPr>
    <w:rPr>
      <w:bCs/>
      <w:sz w:val="28"/>
      <w:szCs w:val="28"/>
    </w:rPr>
  </w:style>
  <w:style w:type="paragraph" w:styleId="9">
    <w:name w:val="heading 5"/>
    <w:basedOn w:val="1"/>
    <w:next w:val="1"/>
    <w:link w:val="44"/>
    <w:autoRedefine/>
    <w:unhideWhenUsed/>
    <w:qFormat/>
    <w:uiPriority w:val="99"/>
    <w:pPr>
      <w:keepNext/>
      <w:keepLines/>
      <w:spacing w:before="280" w:after="290" w:line="372" w:lineRule="auto"/>
      <w:outlineLvl w:val="4"/>
    </w:pPr>
    <w:rPr>
      <w:b/>
      <w:sz w:val="28"/>
    </w:rPr>
  </w:style>
  <w:style w:type="paragraph" w:styleId="10">
    <w:name w:val="heading 6"/>
    <w:basedOn w:val="1"/>
    <w:next w:val="1"/>
    <w:link w:val="45"/>
    <w:autoRedefine/>
    <w:qFormat/>
    <w:uiPriority w:val="99"/>
    <w:pPr>
      <w:widowControl/>
      <w:adjustRightInd w:val="0"/>
      <w:snapToGrid w:val="0"/>
      <w:spacing w:line="260" w:lineRule="atLeast"/>
      <w:ind w:firstLine="504"/>
      <w:jc w:val="left"/>
      <w:outlineLvl w:val="5"/>
    </w:pPr>
    <w:rPr>
      <w:rFonts w:ascii="华文楷体" w:hAnsi="华文楷体" w:eastAsia="LF_Kai"/>
      <w:kern w:val="0"/>
      <w:szCs w:val="20"/>
      <w:lang w:val="en-GB" w:eastAsia="zh-HK"/>
    </w:rPr>
  </w:style>
  <w:style w:type="paragraph" w:styleId="11">
    <w:name w:val="heading 7"/>
    <w:basedOn w:val="1"/>
    <w:next w:val="1"/>
    <w:link w:val="46"/>
    <w:autoRedefine/>
    <w:qFormat/>
    <w:uiPriority w:val="99"/>
    <w:pPr>
      <w:widowControl/>
      <w:adjustRightInd w:val="0"/>
      <w:snapToGrid w:val="0"/>
      <w:spacing w:line="260" w:lineRule="atLeast"/>
      <w:ind w:firstLine="504"/>
      <w:jc w:val="left"/>
      <w:outlineLvl w:val="6"/>
    </w:pPr>
    <w:rPr>
      <w:rFonts w:ascii="华文楷体" w:hAnsi="华文楷体" w:eastAsia="LF_Kai"/>
      <w:kern w:val="0"/>
      <w:szCs w:val="20"/>
      <w:lang w:val="en-GB" w:eastAsia="zh-HK"/>
    </w:rPr>
  </w:style>
  <w:style w:type="paragraph" w:styleId="12">
    <w:name w:val="heading 8"/>
    <w:basedOn w:val="1"/>
    <w:next w:val="1"/>
    <w:link w:val="47"/>
    <w:autoRedefine/>
    <w:qFormat/>
    <w:uiPriority w:val="99"/>
    <w:pPr>
      <w:widowControl/>
      <w:adjustRightInd w:val="0"/>
      <w:snapToGrid w:val="0"/>
      <w:spacing w:line="260" w:lineRule="atLeast"/>
      <w:ind w:firstLine="504"/>
      <w:jc w:val="left"/>
      <w:outlineLvl w:val="7"/>
    </w:pPr>
    <w:rPr>
      <w:rFonts w:ascii="华文楷体" w:hAnsi="华文楷体" w:eastAsia="LF_Kai"/>
      <w:kern w:val="0"/>
      <w:szCs w:val="20"/>
      <w:lang w:val="en-GB" w:eastAsia="zh-HK"/>
    </w:rPr>
  </w:style>
  <w:style w:type="paragraph" w:styleId="13">
    <w:name w:val="heading 9"/>
    <w:basedOn w:val="1"/>
    <w:next w:val="1"/>
    <w:link w:val="48"/>
    <w:autoRedefine/>
    <w:qFormat/>
    <w:uiPriority w:val="99"/>
    <w:pPr>
      <w:widowControl/>
      <w:adjustRightInd w:val="0"/>
      <w:snapToGrid w:val="0"/>
      <w:spacing w:line="260" w:lineRule="atLeast"/>
      <w:ind w:firstLine="504"/>
      <w:jc w:val="left"/>
      <w:outlineLvl w:val="8"/>
    </w:pPr>
    <w:rPr>
      <w:rFonts w:ascii="华文楷体" w:hAnsi="华文楷体" w:eastAsia="LF_Kai"/>
      <w:kern w:val="0"/>
      <w:szCs w:val="20"/>
      <w:lang w:val="en-GB" w:eastAsia="zh-HK"/>
    </w:rPr>
  </w:style>
  <w:style w:type="character" w:default="1" w:styleId="34">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w:basedOn w:val="3"/>
    <w:next w:val="1"/>
    <w:link w:val="39"/>
    <w:autoRedefine/>
    <w:unhideWhenUsed/>
    <w:qFormat/>
    <w:uiPriority w:val="99"/>
    <w:pPr>
      <w:spacing w:before="0" w:after="120" w:line="240" w:lineRule="auto"/>
      <w:ind w:firstLine="420" w:firstLineChars="100"/>
    </w:pPr>
    <w:rPr>
      <w:rFonts w:ascii="Times New Roman" w:hAnsi="Times New Roman" w:eastAsia="宋体"/>
      <w:sz w:val="21"/>
      <w:szCs w:val="24"/>
      <w:lang w:val="en-US"/>
    </w:rPr>
  </w:style>
  <w:style w:type="paragraph" w:styleId="3">
    <w:name w:val="Body Text"/>
    <w:basedOn w:val="1"/>
    <w:next w:val="4"/>
    <w:link w:val="38"/>
    <w:autoRedefine/>
    <w:qFormat/>
    <w:uiPriority w:val="0"/>
    <w:pPr>
      <w:spacing w:before="150" w:after="150" w:line="264" w:lineRule="auto"/>
      <w:ind w:firstLine="567"/>
    </w:pPr>
    <w:rPr>
      <w:rFonts w:ascii="华文楷体" w:hAnsi="华文楷体" w:eastAsia="LF_Kai"/>
      <w:szCs w:val="20"/>
      <w:lang w:val="en-GB"/>
    </w:rPr>
  </w:style>
  <w:style w:type="paragraph" w:styleId="4">
    <w:name w:val="toc 1"/>
    <w:basedOn w:val="1"/>
    <w:next w:val="1"/>
    <w:autoRedefine/>
    <w:qFormat/>
    <w:uiPriority w:val="39"/>
    <w:pPr>
      <w:tabs>
        <w:tab w:val="left" w:pos="540"/>
        <w:tab w:val="right" w:leader="dot" w:pos="8296"/>
      </w:tabs>
      <w:adjustRightInd w:val="0"/>
      <w:snapToGrid w:val="0"/>
      <w:spacing w:line="240" w:lineRule="auto"/>
      <w:ind w:firstLine="0" w:firstLineChars="0"/>
    </w:pPr>
    <w:rPr>
      <w:rFonts w:cs="Calibri"/>
      <w:b/>
      <w:bCs/>
      <w:caps/>
      <w:szCs w:val="28"/>
    </w:rPr>
  </w:style>
  <w:style w:type="paragraph" w:styleId="14">
    <w:name w:val="toc 7"/>
    <w:basedOn w:val="1"/>
    <w:next w:val="1"/>
    <w:autoRedefine/>
    <w:unhideWhenUsed/>
    <w:qFormat/>
    <w:uiPriority w:val="39"/>
    <w:pPr>
      <w:ind w:left="2520" w:leftChars="1200"/>
    </w:pPr>
    <w:rPr>
      <w:rFonts w:asciiTheme="minorHAnsi" w:hAnsiTheme="minorHAnsi" w:eastAsiaTheme="minorEastAsia" w:cstheme="minorBidi"/>
      <w:szCs w:val="22"/>
    </w:rPr>
  </w:style>
  <w:style w:type="paragraph" w:styleId="15">
    <w:name w:val="annotation text"/>
    <w:basedOn w:val="1"/>
    <w:link w:val="49"/>
    <w:autoRedefine/>
    <w:qFormat/>
    <w:uiPriority w:val="99"/>
    <w:pPr>
      <w:jc w:val="left"/>
    </w:pPr>
  </w:style>
  <w:style w:type="paragraph" w:styleId="16">
    <w:name w:val="Body Text Indent"/>
    <w:basedOn w:val="1"/>
    <w:link w:val="80"/>
    <w:autoRedefine/>
    <w:unhideWhenUsed/>
    <w:qFormat/>
    <w:uiPriority w:val="99"/>
    <w:pPr>
      <w:spacing w:after="120"/>
      <w:ind w:left="420" w:leftChars="200" w:firstLine="504"/>
    </w:pPr>
  </w:style>
  <w:style w:type="paragraph" w:styleId="17">
    <w:name w:val="toc 5"/>
    <w:basedOn w:val="1"/>
    <w:next w:val="1"/>
    <w:autoRedefine/>
    <w:unhideWhenUsed/>
    <w:qFormat/>
    <w:uiPriority w:val="39"/>
    <w:pPr>
      <w:ind w:left="1680" w:leftChars="800"/>
    </w:pPr>
    <w:rPr>
      <w:rFonts w:asciiTheme="minorHAnsi" w:hAnsiTheme="minorHAnsi" w:eastAsiaTheme="minorEastAsia" w:cstheme="minorBidi"/>
      <w:szCs w:val="22"/>
    </w:rPr>
  </w:style>
  <w:style w:type="paragraph" w:styleId="18">
    <w:name w:val="toc 3"/>
    <w:basedOn w:val="1"/>
    <w:next w:val="1"/>
    <w:autoRedefine/>
    <w:qFormat/>
    <w:uiPriority w:val="39"/>
    <w:pPr>
      <w:spacing w:line="240" w:lineRule="auto"/>
      <w:ind w:firstLine="964" w:firstLineChars="400"/>
    </w:pPr>
  </w:style>
  <w:style w:type="paragraph" w:styleId="19">
    <w:name w:val="toc 8"/>
    <w:basedOn w:val="1"/>
    <w:next w:val="1"/>
    <w:autoRedefine/>
    <w:unhideWhenUsed/>
    <w:qFormat/>
    <w:uiPriority w:val="39"/>
    <w:pPr>
      <w:ind w:left="2940" w:leftChars="1400"/>
    </w:pPr>
    <w:rPr>
      <w:rFonts w:asciiTheme="minorHAnsi" w:hAnsiTheme="minorHAnsi" w:eastAsiaTheme="minorEastAsia" w:cstheme="minorBidi"/>
      <w:szCs w:val="22"/>
    </w:rPr>
  </w:style>
  <w:style w:type="paragraph" w:styleId="20">
    <w:name w:val="Date"/>
    <w:basedOn w:val="1"/>
    <w:next w:val="1"/>
    <w:link w:val="103"/>
    <w:autoRedefine/>
    <w:qFormat/>
    <w:uiPriority w:val="0"/>
    <w:pPr>
      <w:ind w:left="100" w:leftChars="2500"/>
    </w:pPr>
  </w:style>
  <w:style w:type="paragraph" w:styleId="21">
    <w:name w:val="Balloon Text"/>
    <w:basedOn w:val="1"/>
    <w:link w:val="50"/>
    <w:autoRedefine/>
    <w:qFormat/>
    <w:uiPriority w:val="99"/>
    <w:rPr>
      <w:sz w:val="18"/>
      <w:szCs w:val="18"/>
    </w:rPr>
  </w:style>
  <w:style w:type="paragraph" w:styleId="22">
    <w:name w:val="footer"/>
    <w:basedOn w:val="1"/>
    <w:link w:val="51"/>
    <w:autoRedefine/>
    <w:unhideWhenUsed/>
    <w:qFormat/>
    <w:uiPriority w:val="99"/>
    <w:pPr>
      <w:tabs>
        <w:tab w:val="center" w:pos="4153"/>
        <w:tab w:val="right" w:pos="8306"/>
      </w:tabs>
    </w:pPr>
    <w:rPr>
      <w:sz w:val="18"/>
      <w:szCs w:val="18"/>
    </w:rPr>
  </w:style>
  <w:style w:type="paragraph" w:styleId="23">
    <w:name w:val="header"/>
    <w:basedOn w:val="1"/>
    <w:link w:val="52"/>
    <w:autoRedefine/>
    <w:unhideWhenUsed/>
    <w:qFormat/>
    <w:uiPriority w:val="99"/>
    <w:pPr>
      <w:pBdr>
        <w:bottom w:val="single" w:color="auto" w:sz="6" w:space="1"/>
      </w:pBdr>
      <w:tabs>
        <w:tab w:val="center" w:pos="4153"/>
        <w:tab w:val="right" w:pos="8306"/>
      </w:tabs>
      <w:jc w:val="center"/>
    </w:pPr>
    <w:rPr>
      <w:sz w:val="18"/>
      <w:szCs w:val="18"/>
    </w:rPr>
  </w:style>
  <w:style w:type="paragraph" w:styleId="24">
    <w:name w:val="toc 4"/>
    <w:basedOn w:val="1"/>
    <w:next w:val="1"/>
    <w:autoRedefine/>
    <w:unhideWhenUsed/>
    <w:qFormat/>
    <w:uiPriority w:val="39"/>
    <w:pPr>
      <w:ind w:left="1260" w:leftChars="600"/>
    </w:pPr>
    <w:rPr>
      <w:rFonts w:asciiTheme="minorHAnsi" w:hAnsiTheme="minorHAnsi" w:eastAsiaTheme="minorEastAsia" w:cstheme="minorBidi"/>
      <w:szCs w:val="22"/>
    </w:rPr>
  </w:style>
  <w:style w:type="paragraph" w:styleId="25">
    <w:name w:val="Subtitle"/>
    <w:basedOn w:val="1"/>
    <w:next w:val="1"/>
    <w:link w:val="53"/>
    <w:autoRedefine/>
    <w:qFormat/>
    <w:uiPriority w:val="99"/>
    <w:pPr>
      <w:spacing w:before="240" w:after="60" w:line="312" w:lineRule="auto"/>
      <w:jc w:val="center"/>
    </w:pPr>
    <w:rPr>
      <w:rFonts w:ascii="Cambria" w:hAnsi="Cambria" w:eastAsia="黑体"/>
      <w:b/>
      <w:bCs/>
      <w:kern w:val="28"/>
      <w:szCs w:val="32"/>
    </w:rPr>
  </w:style>
  <w:style w:type="paragraph" w:styleId="26">
    <w:name w:val="toc 6"/>
    <w:basedOn w:val="1"/>
    <w:next w:val="1"/>
    <w:autoRedefine/>
    <w:unhideWhenUsed/>
    <w:qFormat/>
    <w:uiPriority w:val="39"/>
    <w:pPr>
      <w:ind w:left="2100" w:leftChars="1000"/>
    </w:pPr>
    <w:rPr>
      <w:rFonts w:asciiTheme="minorHAnsi" w:hAnsiTheme="minorHAnsi" w:eastAsiaTheme="minorEastAsia" w:cstheme="minorBidi"/>
      <w:szCs w:val="22"/>
    </w:rPr>
  </w:style>
  <w:style w:type="paragraph" w:styleId="27">
    <w:name w:val="toc 2"/>
    <w:basedOn w:val="1"/>
    <w:next w:val="1"/>
    <w:autoRedefine/>
    <w:qFormat/>
    <w:uiPriority w:val="39"/>
    <w:pPr>
      <w:spacing w:line="240" w:lineRule="auto"/>
    </w:pPr>
  </w:style>
  <w:style w:type="paragraph" w:styleId="28">
    <w:name w:val="toc 9"/>
    <w:basedOn w:val="1"/>
    <w:next w:val="1"/>
    <w:autoRedefine/>
    <w:unhideWhenUsed/>
    <w:qFormat/>
    <w:uiPriority w:val="39"/>
    <w:pPr>
      <w:ind w:left="3360" w:leftChars="1600"/>
    </w:pPr>
    <w:rPr>
      <w:rFonts w:asciiTheme="minorHAnsi" w:hAnsiTheme="minorHAnsi" w:eastAsiaTheme="minorEastAsia" w:cstheme="minorBidi"/>
      <w:szCs w:val="22"/>
    </w:rPr>
  </w:style>
  <w:style w:type="paragraph" w:styleId="29">
    <w:name w:val="Normal (Web)"/>
    <w:basedOn w:val="1"/>
    <w:autoRedefine/>
    <w:unhideWhenUsed/>
    <w:qFormat/>
    <w:uiPriority w:val="99"/>
    <w:pPr>
      <w:widowControl/>
      <w:spacing w:before="100" w:beforeAutospacing="1" w:after="100" w:afterAutospacing="1"/>
      <w:jc w:val="left"/>
    </w:pPr>
    <w:rPr>
      <w:rFonts w:ascii="宋体" w:hAnsi="宋体" w:cs="宋体"/>
      <w:kern w:val="0"/>
    </w:rPr>
  </w:style>
  <w:style w:type="paragraph" w:styleId="30">
    <w:name w:val="Title"/>
    <w:basedOn w:val="25"/>
    <w:autoRedefine/>
    <w:qFormat/>
    <w:uiPriority w:val="10"/>
    <w:pPr>
      <w:ind w:firstLine="881"/>
    </w:pPr>
    <w:rPr>
      <w:rFonts w:ascii="华文中宋" w:hAnsi="华文中宋" w:eastAsia="华文中宋"/>
      <w:sz w:val="44"/>
      <w:szCs w:val="36"/>
    </w:rPr>
  </w:style>
  <w:style w:type="paragraph" w:styleId="31">
    <w:name w:val="annotation subject"/>
    <w:basedOn w:val="15"/>
    <w:next w:val="15"/>
    <w:link w:val="54"/>
    <w:autoRedefine/>
    <w:qFormat/>
    <w:uiPriority w:val="99"/>
    <w:rPr>
      <w:b/>
      <w:bCs/>
    </w:rPr>
  </w:style>
  <w:style w:type="table" w:styleId="33">
    <w:name w:val="Table Grid"/>
    <w:basedOn w:val="32"/>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FollowedHyperlink"/>
    <w:autoRedefine/>
    <w:unhideWhenUsed/>
    <w:qFormat/>
    <w:uiPriority w:val="99"/>
    <w:rPr>
      <w:color w:val="800080"/>
      <w:u w:val="single"/>
    </w:rPr>
  </w:style>
  <w:style w:type="character" w:styleId="36">
    <w:name w:val="Hyperlink"/>
    <w:basedOn w:val="34"/>
    <w:autoRedefine/>
    <w:unhideWhenUsed/>
    <w:qFormat/>
    <w:uiPriority w:val="99"/>
    <w:rPr>
      <w:color w:val="0000FF" w:themeColor="hyperlink"/>
      <w:u w:val="single"/>
      <w14:textFill>
        <w14:solidFill>
          <w14:schemeClr w14:val="hlink"/>
        </w14:solidFill>
      </w14:textFill>
    </w:rPr>
  </w:style>
  <w:style w:type="character" w:styleId="37">
    <w:name w:val="annotation reference"/>
    <w:basedOn w:val="34"/>
    <w:autoRedefine/>
    <w:qFormat/>
    <w:uiPriority w:val="99"/>
    <w:rPr>
      <w:sz w:val="21"/>
      <w:szCs w:val="21"/>
    </w:rPr>
  </w:style>
  <w:style w:type="character" w:customStyle="1" w:styleId="38">
    <w:name w:val="正文文本 字符"/>
    <w:basedOn w:val="34"/>
    <w:link w:val="3"/>
    <w:autoRedefine/>
    <w:qFormat/>
    <w:uiPriority w:val="0"/>
    <w:rPr>
      <w:rFonts w:ascii="华文楷体" w:hAnsi="华文楷体" w:eastAsia="LF_Kai"/>
      <w:kern w:val="2"/>
      <w:sz w:val="24"/>
      <w:lang w:val="en-GB"/>
    </w:rPr>
  </w:style>
  <w:style w:type="character" w:customStyle="1" w:styleId="39">
    <w:name w:val="正文首行缩进 字符"/>
    <w:basedOn w:val="34"/>
    <w:link w:val="2"/>
    <w:autoRedefine/>
    <w:qFormat/>
    <w:uiPriority w:val="99"/>
    <w:rPr>
      <w:kern w:val="2"/>
      <w:sz w:val="21"/>
      <w:szCs w:val="24"/>
    </w:rPr>
  </w:style>
  <w:style w:type="character" w:customStyle="1" w:styleId="40">
    <w:name w:val="标题 1 字符"/>
    <w:basedOn w:val="34"/>
    <w:link w:val="5"/>
    <w:autoRedefine/>
    <w:qFormat/>
    <w:uiPriority w:val="99"/>
    <w:rPr>
      <w:rFonts w:eastAsia="仿宋"/>
      <w:b/>
      <w:kern w:val="2"/>
      <w:sz w:val="36"/>
      <w:szCs w:val="24"/>
    </w:rPr>
  </w:style>
  <w:style w:type="character" w:customStyle="1" w:styleId="41">
    <w:name w:val="标题 3 字符"/>
    <w:basedOn w:val="34"/>
    <w:link w:val="7"/>
    <w:autoRedefine/>
    <w:qFormat/>
    <w:uiPriority w:val="99"/>
    <w:rPr>
      <w:rFonts w:eastAsia="仿宋"/>
      <w:b/>
      <w:kern w:val="2"/>
      <w:sz w:val="30"/>
      <w:szCs w:val="24"/>
    </w:rPr>
  </w:style>
  <w:style w:type="character" w:customStyle="1" w:styleId="42">
    <w:name w:val="标题 2 字符"/>
    <w:basedOn w:val="34"/>
    <w:link w:val="6"/>
    <w:autoRedefine/>
    <w:qFormat/>
    <w:uiPriority w:val="99"/>
    <w:rPr>
      <w:rFonts w:eastAsia="仿宋"/>
      <w:b/>
      <w:kern w:val="2"/>
      <w:sz w:val="32"/>
      <w:szCs w:val="24"/>
    </w:rPr>
  </w:style>
  <w:style w:type="character" w:customStyle="1" w:styleId="43">
    <w:name w:val="标题 4 字符"/>
    <w:basedOn w:val="34"/>
    <w:link w:val="8"/>
    <w:autoRedefine/>
    <w:qFormat/>
    <w:uiPriority w:val="99"/>
    <w:rPr>
      <w:rFonts w:eastAsia="仿宋"/>
      <w:bCs/>
      <w:kern w:val="2"/>
      <w:sz w:val="28"/>
      <w:szCs w:val="28"/>
    </w:rPr>
  </w:style>
  <w:style w:type="character" w:customStyle="1" w:styleId="44">
    <w:name w:val="标题 5 字符"/>
    <w:basedOn w:val="34"/>
    <w:link w:val="9"/>
    <w:autoRedefine/>
    <w:qFormat/>
    <w:uiPriority w:val="99"/>
    <w:rPr>
      <w:b/>
      <w:kern w:val="2"/>
      <w:sz w:val="28"/>
      <w:szCs w:val="24"/>
    </w:rPr>
  </w:style>
  <w:style w:type="character" w:customStyle="1" w:styleId="45">
    <w:name w:val="标题 6 字符"/>
    <w:basedOn w:val="34"/>
    <w:link w:val="10"/>
    <w:autoRedefine/>
    <w:qFormat/>
    <w:uiPriority w:val="99"/>
    <w:rPr>
      <w:rFonts w:ascii="华文楷体" w:hAnsi="华文楷体" w:eastAsia="LF_Kai"/>
      <w:sz w:val="24"/>
      <w:lang w:val="en-GB" w:eastAsia="zh-HK"/>
    </w:rPr>
  </w:style>
  <w:style w:type="character" w:customStyle="1" w:styleId="46">
    <w:name w:val="标题 7 字符"/>
    <w:basedOn w:val="34"/>
    <w:link w:val="11"/>
    <w:autoRedefine/>
    <w:qFormat/>
    <w:uiPriority w:val="99"/>
    <w:rPr>
      <w:rFonts w:ascii="华文楷体" w:hAnsi="华文楷体" w:eastAsia="LF_Kai"/>
      <w:sz w:val="24"/>
      <w:lang w:val="en-GB" w:eastAsia="zh-HK"/>
    </w:rPr>
  </w:style>
  <w:style w:type="character" w:customStyle="1" w:styleId="47">
    <w:name w:val="标题 8 字符"/>
    <w:basedOn w:val="34"/>
    <w:link w:val="12"/>
    <w:autoRedefine/>
    <w:qFormat/>
    <w:uiPriority w:val="99"/>
    <w:rPr>
      <w:rFonts w:ascii="华文楷体" w:hAnsi="华文楷体" w:eastAsia="LF_Kai"/>
      <w:sz w:val="24"/>
      <w:lang w:val="en-GB" w:eastAsia="zh-HK"/>
    </w:rPr>
  </w:style>
  <w:style w:type="character" w:customStyle="1" w:styleId="48">
    <w:name w:val="标题 9 字符"/>
    <w:basedOn w:val="34"/>
    <w:link w:val="13"/>
    <w:autoRedefine/>
    <w:qFormat/>
    <w:uiPriority w:val="99"/>
    <w:rPr>
      <w:rFonts w:ascii="华文楷体" w:hAnsi="华文楷体" w:eastAsia="LF_Kai"/>
      <w:sz w:val="24"/>
      <w:lang w:val="en-GB" w:eastAsia="zh-HK"/>
    </w:rPr>
  </w:style>
  <w:style w:type="character" w:customStyle="1" w:styleId="49">
    <w:name w:val="批注文字 字符"/>
    <w:basedOn w:val="34"/>
    <w:link w:val="15"/>
    <w:autoRedefine/>
    <w:qFormat/>
    <w:uiPriority w:val="99"/>
    <w:rPr>
      <w:kern w:val="2"/>
      <w:sz w:val="21"/>
      <w:szCs w:val="24"/>
    </w:rPr>
  </w:style>
  <w:style w:type="character" w:customStyle="1" w:styleId="50">
    <w:name w:val="批注框文本 字符"/>
    <w:basedOn w:val="34"/>
    <w:link w:val="21"/>
    <w:autoRedefine/>
    <w:qFormat/>
    <w:uiPriority w:val="99"/>
    <w:rPr>
      <w:kern w:val="2"/>
      <w:sz w:val="18"/>
      <w:szCs w:val="18"/>
    </w:rPr>
  </w:style>
  <w:style w:type="character" w:customStyle="1" w:styleId="51">
    <w:name w:val="页脚 字符"/>
    <w:basedOn w:val="34"/>
    <w:link w:val="22"/>
    <w:autoRedefine/>
    <w:qFormat/>
    <w:uiPriority w:val="99"/>
    <w:rPr>
      <w:kern w:val="2"/>
      <w:sz w:val="18"/>
      <w:szCs w:val="18"/>
    </w:rPr>
  </w:style>
  <w:style w:type="character" w:customStyle="1" w:styleId="52">
    <w:name w:val="页眉 字符"/>
    <w:basedOn w:val="34"/>
    <w:link w:val="23"/>
    <w:autoRedefine/>
    <w:qFormat/>
    <w:uiPriority w:val="99"/>
    <w:rPr>
      <w:kern w:val="2"/>
      <w:sz w:val="18"/>
      <w:szCs w:val="18"/>
    </w:rPr>
  </w:style>
  <w:style w:type="character" w:customStyle="1" w:styleId="53">
    <w:name w:val="副标题 字符"/>
    <w:basedOn w:val="34"/>
    <w:link w:val="25"/>
    <w:autoRedefine/>
    <w:qFormat/>
    <w:uiPriority w:val="99"/>
    <w:rPr>
      <w:rFonts w:ascii="Cambria" w:hAnsi="Cambria" w:eastAsia="黑体"/>
      <w:b/>
      <w:bCs/>
      <w:kern w:val="28"/>
      <w:sz w:val="24"/>
      <w:szCs w:val="32"/>
    </w:rPr>
  </w:style>
  <w:style w:type="character" w:customStyle="1" w:styleId="54">
    <w:name w:val="批注主题 字符"/>
    <w:basedOn w:val="49"/>
    <w:link w:val="31"/>
    <w:autoRedefine/>
    <w:qFormat/>
    <w:uiPriority w:val="99"/>
    <w:rPr>
      <w:b/>
      <w:bCs/>
      <w:kern w:val="2"/>
      <w:sz w:val="21"/>
      <w:szCs w:val="24"/>
    </w:rPr>
  </w:style>
  <w:style w:type="paragraph" w:customStyle="1" w:styleId="55">
    <w:name w:val="Table Paragraph"/>
    <w:basedOn w:val="1"/>
    <w:autoRedefine/>
    <w:qFormat/>
    <w:uiPriority w:val="1"/>
    <w:rPr>
      <w:rFonts w:ascii="宋体" w:hAnsi="宋体" w:cs="宋体"/>
      <w:lang w:val="zh-CN" w:bidi="zh-CN"/>
    </w:rPr>
  </w:style>
  <w:style w:type="character" w:customStyle="1" w:styleId="56">
    <w:name w:val="font01"/>
    <w:basedOn w:val="34"/>
    <w:autoRedefine/>
    <w:qFormat/>
    <w:uiPriority w:val="0"/>
    <w:rPr>
      <w:rFonts w:hint="eastAsia" w:ascii="仿宋" w:hAnsi="仿宋" w:eastAsia="仿宋" w:cs="仿宋"/>
      <w:color w:val="000000"/>
      <w:sz w:val="21"/>
      <w:szCs w:val="21"/>
      <w:u w:val="none"/>
    </w:rPr>
  </w:style>
  <w:style w:type="paragraph" w:customStyle="1" w:styleId="57">
    <w:name w:val="Body text|2"/>
    <w:basedOn w:val="1"/>
    <w:link w:val="58"/>
    <w:autoRedefine/>
    <w:qFormat/>
    <w:uiPriority w:val="0"/>
    <w:pPr>
      <w:shd w:val="clear" w:color="auto" w:fill="FFFFFF"/>
      <w:spacing w:after="100" w:line="220" w:lineRule="exact"/>
    </w:pPr>
    <w:rPr>
      <w:rFonts w:ascii="PMingLiU" w:hAnsi="PMingLiU" w:eastAsia="PMingLiU" w:cs="PMingLiU"/>
      <w:sz w:val="22"/>
      <w:szCs w:val="22"/>
    </w:rPr>
  </w:style>
  <w:style w:type="character" w:customStyle="1" w:styleId="58">
    <w:name w:val="Body text|2_"/>
    <w:link w:val="57"/>
    <w:autoRedefine/>
    <w:qFormat/>
    <w:locked/>
    <w:uiPriority w:val="0"/>
    <w:rPr>
      <w:rFonts w:ascii="PMingLiU" w:hAnsi="PMingLiU" w:eastAsia="PMingLiU" w:cs="PMingLiU"/>
      <w:kern w:val="2"/>
      <w:sz w:val="22"/>
      <w:szCs w:val="22"/>
      <w:shd w:val="clear" w:color="auto" w:fill="FFFFFF"/>
    </w:rPr>
  </w:style>
  <w:style w:type="paragraph" w:customStyle="1" w:styleId="59">
    <w:name w:val="Normal_1"/>
    <w:autoRedefine/>
    <w:qFormat/>
    <w:uiPriority w:val="0"/>
    <w:rPr>
      <w:rFonts w:ascii="Times New Roman" w:hAnsi="Times New Roman" w:cs="Times New Roman" w:eastAsiaTheme="minorEastAsia"/>
      <w:sz w:val="24"/>
      <w:szCs w:val="24"/>
      <w:lang w:val="en-US" w:eastAsia="zh-CN" w:bidi="ar-SA"/>
    </w:rPr>
  </w:style>
  <w:style w:type="paragraph" w:customStyle="1" w:styleId="60">
    <w:name w:val="列出段落1"/>
    <w:basedOn w:val="1"/>
    <w:autoRedefine/>
    <w:qFormat/>
    <w:uiPriority w:val="99"/>
    <w:pPr>
      <w:ind w:firstLine="420"/>
    </w:pPr>
  </w:style>
  <w:style w:type="paragraph" w:customStyle="1" w:styleId="61">
    <w:name w:val="WPSOffice手动目录 1"/>
    <w:autoRedefine/>
    <w:qFormat/>
    <w:uiPriority w:val="0"/>
    <w:rPr>
      <w:rFonts w:ascii="Times New Roman" w:hAnsi="Times New Roman" w:eastAsia="宋体" w:cs="Times New Roman"/>
      <w:lang w:val="en-US" w:eastAsia="zh-CN" w:bidi="ar-SA"/>
    </w:rPr>
  </w:style>
  <w:style w:type="paragraph" w:customStyle="1" w:styleId="62">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63">
    <w:name w:val="WPSOffice手动目录 3"/>
    <w:autoRedefine/>
    <w:qFormat/>
    <w:uiPriority w:val="0"/>
    <w:pPr>
      <w:ind w:left="400" w:leftChars="400"/>
    </w:pPr>
    <w:rPr>
      <w:rFonts w:ascii="Times New Roman" w:hAnsi="Times New Roman" w:eastAsia="宋体" w:cs="Times New Roman"/>
      <w:lang w:val="en-US" w:eastAsia="zh-CN" w:bidi="ar-SA"/>
    </w:rPr>
  </w:style>
  <w:style w:type="character" w:customStyle="1" w:styleId="64">
    <w:name w:val="未处理的提及1"/>
    <w:basedOn w:val="34"/>
    <w:autoRedefine/>
    <w:unhideWhenUsed/>
    <w:qFormat/>
    <w:uiPriority w:val="99"/>
    <w:rPr>
      <w:color w:val="605E5C"/>
      <w:shd w:val="clear" w:color="auto" w:fill="E1DFDD"/>
    </w:rPr>
  </w:style>
  <w:style w:type="paragraph" w:customStyle="1" w:styleId="65">
    <w:name w:val="修订1"/>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66">
    <w:name w:val="正文1"/>
    <w:autoRedefine/>
    <w:qFormat/>
    <w:uiPriority w:val="0"/>
    <w:pPr>
      <w:spacing w:line="420" w:lineRule="auto"/>
      <w:ind w:firstLine="560" w:firstLineChars="200"/>
    </w:pPr>
    <w:rPr>
      <w:rFonts w:ascii="宋体" w:hAnsi="宋体" w:eastAsia="宋体" w:cs="宋体"/>
      <w:sz w:val="28"/>
      <w:szCs w:val="22"/>
      <w:lang w:val="en-US" w:eastAsia="zh-CN" w:bidi="ar-SA"/>
    </w:rPr>
  </w:style>
  <w:style w:type="paragraph" w:customStyle="1" w:styleId="67">
    <w:name w:val="正文格式"/>
    <w:autoRedefine/>
    <w:qFormat/>
    <w:uiPriority w:val="0"/>
    <w:pPr>
      <w:widowControl w:val="0"/>
      <w:ind w:firstLine="200" w:firstLineChars="200"/>
      <w:jc w:val="both"/>
    </w:pPr>
    <w:rPr>
      <w:rFonts w:ascii="仿宋" w:hAnsi="仿宋" w:eastAsia="仿宋" w:cs="Times New Roman"/>
      <w:kern w:val="2"/>
      <w:sz w:val="28"/>
      <w:szCs w:val="28"/>
      <w:lang w:val="en-US" w:eastAsia="zh-CN" w:bidi="ar-SA"/>
    </w:rPr>
  </w:style>
  <w:style w:type="paragraph" w:customStyle="1" w:styleId="68">
    <w:name w:val="标题3级"/>
    <w:basedOn w:val="1"/>
    <w:autoRedefine/>
    <w:qFormat/>
    <w:uiPriority w:val="0"/>
    <w:pPr>
      <w:spacing w:line="420" w:lineRule="auto"/>
      <w:outlineLvl w:val="2"/>
    </w:pPr>
    <w:rPr>
      <w:rFonts w:ascii="宋体" w:hAnsi="宋体"/>
      <w:b/>
      <w:bCs/>
      <w:sz w:val="28"/>
      <w:szCs w:val="20"/>
    </w:rPr>
  </w:style>
  <w:style w:type="paragraph" w:customStyle="1" w:styleId="69">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70">
    <w:name w:val="font141"/>
    <w:basedOn w:val="34"/>
    <w:autoRedefine/>
    <w:qFormat/>
    <w:uiPriority w:val="0"/>
    <w:rPr>
      <w:rFonts w:ascii="宋体" w:hAnsi="宋体" w:eastAsia="宋体" w:cs="宋体"/>
      <w:color w:val="000000"/>
      <w:sz w:val="12"/>
      <w:szCs w:val="12"/>
      <w:u w:val="none"/>
    </w:rPr>
  </w:style>
  <w:style w:type="paragraph" w:customStyle="1" w:styleId="71">
    <w:name w:val="TOC 标题1"/>
    <w:basedOn w:val="5"/>
    <w:next w:val="1"/>
    <w:autoRedefine/>
    <w:unhideWhenUsed/>
    <w:qFormat/>
    <w:uiPriority w:val="39"/>
    <w:pPr>
      <w:keepNext/>
      <w:keepLines/>
      <w:widowControl/>
      <w:tabs>
        <w:tab w:val="clear" w:pos="0"/>
      </w:tabs>
      <w:spacing w:line="259" w:lineRule="auto"/>
      <w:jc w:val="left"/>
      <w:outlineLvl w:val="9"/>
    </w:pPr>
    <w:rPr>
      <w:rFonts w:asciiTheme="majorHAnsi" w:hAnsiTheme="majorHAnsi" w:eastAsiaTheme="majorEastAsia" w:cstheme="majorBidi"/>
      <w:b w:val="0"/>
      <w:color w:val="376092" w:themeColor="accent1" w:themeShade="BF"/>
      <w:kern w:val="0"/>
      <w:szCs w:val="32"/>
    </w:rPr>
  </w:style>
  <w:style w:type="character" w:customStyle="1" w:styleId="72">
    <w:name w:val="未处理的提及2"/>
    <w:basedOn w:val="34"/>
    <w:autoRedefine/>
    <w:unhideWhenUsed/>
    <w:qFormat/>
    <w:uiPriority w:val="99"/>
    <w:rPr>
      <w:color w:val="605E5C"/>
      <w:shd w:val="clear" w:color="auto" w:fill="E1DFDD"/>
    </w:rPr>
  </w:style>
  <w:style w:type="character" w:customStyle="1" w:styleId="73">
    <w:name w:val="font11"/>
    <w:autoRedefine/>
    <w:qFormat/>
    <w:uiPriority w:val="0"/>
    <w:rPr>
      <w:rFonts w:hint="eastAsia" w:ascii="仿宋_GB2312" w:eastAsia="仿宋_GB2312"/>
      <w:color w:val="000000"/>
      <w:sz w:val="20"/>
      <w:szCs w:val="20"/>
      <w:u w:val="none"/>
    </w:rPr>
  </w:style>
  <w:style w:type="character" w:customStyle="1" w:styleId="74">
    <w:name w:val="font31"/>
    <w:autoRedefine/>
    <w:qFormat/>
    <w:uiPriority w:val="0"/>
    <w:rPr>
      <w:rFonts w:hint="eastAsia" w:ascii="宋体" w:hAnsi="宋体" w:eastAsia="宋体" w:cs="宋体"/>
      <w:color w:val="000000"/>
      <w:sz w:val="16"/>
      <w:szCs w:val="16"/>
      <w:u w:val="none"/>
    </w:rPr>
  </w:style>
  <w:style w:type="character" w:customStyle="1" w:styleId="75">
    <w:name w:val="font81"/>
    <w:autoRedefine/>
    <w:qFormat/>
    <w:uiPriority w:val="0"/>
    <w:rPr>
      <w:rFonts w:hint="eastAsia" w:ascii="宋体" w:hAnsi="宋体" w:eastAsia="宋体" w:cs="宋体"/>
      <w:b/>
      <w:color w:val="000000"/>
      <w:sz w:val="22"/>
      <w:szCs w:val="22"/>
      <w:u w:val="none"/>
    </w:rPr>
  </w:style>
  <w:style w:type="character" w:customStyle="1" w:styleId="76">
    <w:name w:val="Char Char4"/>
    <w:autoRedefine/>
    <w:qFormat/>
    <w:uiPriority w:val="0"/>
    <w:rPr>
      <w:rFonts w:eastAsia="宋体"/>
      <w:kern w:val="2"/>
      <w:sz w:val="21"/>
      <w:szCs w:val="24"/>
      <w:lang w:val="en-US" w:eastAsia="zh-CN" w:bidi="ar-SA"/>
    </w:rPr>
  </w:style>
  <w:style w:type="character" w:customStyle="1" w:styleId="77">
    <w:name w:val="font51"/>
    <w:autoRedefine/>
    <w:qFormat/>
    <w:uiPriority w:val="0"/>
    <w:rPr>
      <w:rFonts w:hint="eastAsia" w:ascii="宋体" w:hAnsi="宋体" w:eastAsia="宋体"/>
      <w:color w:val="000000"/>
      <w:sz w:val="20"/>
      <w:szCs w:val="20"/>
      <w:u w:val="none"/>
    </w:rPr>
  </w:style>
  <w:style w:type="character" w:customStyle="1" w:styleId="78">
    <w:name w:val="font21"/>
    <w:autoRedefine/>
    <w:qFormat/>
    <w:uiPriority w:val="0"/>
    <w:rPr>
      <w:rFonts w:hint="default" w:ascii="Times New Roman" w:hAnsi="Times New Roman" w:cs="Times New Roman"/>
      <w:color w:val="000000"/>
      <w:sz w:val="20"/>
      <w:szCs w:val="20"/>
      <w:u w:val="none"/>
    </w:rPr>
  </w:style>
  <w:style w:type="character" w:customStyle="1" w:styleId="79">
    <w:name w:val="未处理的提及3"/>
    <w:autoRedefine/>
    <w:unhideWhenUsed/>
    <w:qFormat/>
    <w:uiPriority w:val="99"/>
    <w:rPr>
      <w:color w:val="605E5C"/>
      <w:shd w:val="clear" w:color="auto" w:fill="E1DFDD"/>
    </w:rPr>
  </w:style>
  <w:style w:type="character" w:customStyle="1" w:styleId="80">
    <w:name w:val="正文文本缩进 字符"/>
    <w:link w:val="16"/>
    <w:autoRedefine/>
    <w:qFormat/>
    <w:uiPriority w:val="99"/>
    <w:rPr>
      <w:kern w:val="2"/>
      <w:sz w:val="21"/>
      <w:szCs w:val="24"/>
    </w:rPr>
  </w:style>
  <w:style w:type="character" w:customStyle="1" w:styleId="81">
    <w:name w:val="正文文本缩进 字符1"/>
    <w:basedOn w:val="34"/>
    <w:autoRedefine/>
    <w:qFormat/>
    <w:uiPriority w:val="0"/>
    <w:rPr>
      <w:kern w:val="2"/>
      <w:sz w:val="21"/>
      <w:szCs w:val="24"/>
    </w:rPr>
  </w:style>
  <w:style w:type="paragraph" w:customStyle="1" w:styleId="82">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83">
    <w:name w:val="TOC 51"/>
    <w:basedOn w:val="1"/>
    <w:next w:val="1"/>
    <w:autoRedefine/>
    <w:unhideWhenUsed/>
    <w:qFormat/>
    <w:uiPriority w:val="39"/>
    <w:pPr>
      <w:ind w:left="1680" w:leftChars="800" w:firstLine="504"/>
    </w:pPr>
    <w:rPr>
      <w:rFonts w:ascii="Calibri" w:hAnsi="Calibri"/>
      <w:szCs w:val="22"/>
    </w:rPr>
  </w:style>
  <w:style w:type="paragraph" w:customStyle="1" w:styleId="84">
    <w:name w:val="样式4"/>
    <w:basedOn w:val="1"/>
    <w:autoRedefine/>
    <w:qFormat/>
    <w:uiPriority w:val="0"/>
    <w:pPr>
      <w:spacing w:after="160"/>
      <w:ind w:firstLine="480"/>
    </w:pPr>
    <w:rPr>
      <w:rFonts w:eastAsia="华文中宋"/>
      <w:color w:val="000000"/>
      <w:kern w:val="0"/>
    </w:rPr>
  </w:style>
  <w:style w:type="paragraph" w:customStyle="1" w:styleId="85">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kern w:val="0"/>
      <w:sz w:val="16"/>
      <w:szCs w:val="16"/>
    </w:rPr>
  </w:style>
  <w:style w:type="paragraph" w:customStyle="1" w:styleId="86">
    <w:name w:val="xl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6"/>
      <w:szCs w:val="16"/>
    </w:rPr>
  </w:style>
  <w:style w:type="paragraph" w:customStyle="1" w:styleId="87">
    <w:name w:val="xl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6"/>
      <w:szCs w:val="16"/>
    </w:rPr>
  </w:style>
  <w:style w:type="paragraph" w:customStyle="1" w:styleId="88">
    <w:name w:val="TOC 71"/>
    <w:basedOn w:val="1"/>
    <w:next w:val="1"/>
    <w:autoRedefine/>
    <w:unhideWhenUsed/>
    <w:qFormat/>
    <w:uiPriority w:val="39"/>
    <w:pPr>
      <w:ind w:left="2520" w:leftChars="1200" w:firstLine="504"/>
    </w:pPr>
    <w:rPr>
      <w:rFonts w:ascii="Calibri" w:hAnsi="Calibri"/>
      <w:szCs w:val="22"/>
    </w:rPr>
  </w:style>
  <w:style w:type="paragraph" w:customStyle="1" w:styleId="89">
    <w:name w:val="TOC 标题2"/>
    <w:basedOn w:val="5"/>
    <w:next w:val="1"/>
    <w:autoRedefine/>
    <w:unhideWhenUsed/>
    <w:qFormat/>
    <w:uiPriority w:val="39"/>
    <w:pPr>
      <w:keepNext/>
      <w:keepLines/>
      <w:widowControl/>
      <w:tabs>
        <w:tab w:val="clear" w:pos="0"/>
      </w:tabs>
      <w:spacing w:line="259" w:lineRule="auto"/>
      <w:ind w:firstLine="504"/>
      <w:jc w:val="left"/>
      <w:outlineLvl w:val="9"/>
    </w:pPr>
    <w:rPr>
      <w:rFonts w:ascii="Cambria" w:hAnsi="Cambria" w:eastAsia="宋体"/>
      <w:b w:val="0"/>
      <w:color w:val="365F91"/>
      <w:kern w:val="0"/>
      <w:szCs w:val="32"/>
      <w:lang w:eastAsia="en-US"/>
    </w:rPr>
  </w:style>
  <w:style w:type="paragraph" w:customStyle="1" w:styleId="90">
    <w:name w:val="TOC 41"/>
    <w:basedOn w:val="1"/>
    <w:next w:val="1"/>
    <w:autoRedefine/>
    <w:unhideWhenUsed/>
    <w:qFormat/>
    <w:uiPriority w:val="39"/>
    <w:pPr>
      <w:ind w:left="1260" w:leftChars="600" w:firstLine="504"/>
    </w:pPr>
    <w:rPr>
      <w:rFonts w:ascii="Calibri" w:hAnsi="Calibri"/>
      <w:szCs w:val="22"/>
    </w:rPr>
  </w:style>
  <w:style w:type="paragraph" w:customStyle="1" w:styleId="91">
    <w:name w:val="TOC 61"/>
    <w:basedOn w:val="1"/>
    <w:next w:val="1"/>
    <w:autoRedefine/>
    <w:unhideWhenUsed/>
    <w:qFormat/>
    <w:uiPriority w:val="39"/>
    <w:pPr>
      <w:ind w:left="2100" w:leftChars="1000" w:firstLine="504"/>
    </w:pPr>
    <w:rPr>
      <w:rFonts w:ascii="Calibri" w:hAnsi="Calibri"/>
      <w:szCs w:val="22"/>
    </w:rPr>
  </w:style>
  <w:style w:type="paragraph" w:customStyle="1" w:styleId="92">
    <w:name w:val="xl83"/>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93">
    <w:name w:val="xl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6"/>
      <w:szCs w:val="16"/>
    </w:rPr>
  </w:style>
  <w:style w:type="paragraph" w:customStyle="1" w:styleId="94">
    <w:name w:val="章标题"/>
    <w:basedOn w:val="1"/>
    <w:next w:val="95"/>
    <w:autoRedefine/>
    <w:qFormat/>
    <w:uiPriority w:val="0"/>
    <w:pPr>
      <w:widowControl/>
      <w:spacing w:before="158" w:after="153" w:line="323" w:lineRule="atLeast"/>
      <w:ind w:right="-120" w:firstLine="504"/>
      <w:jc w:val="center"/>
      <w:textAlignment w:val="baseline"/>
    </w:pPr>
    <w:rPr>
      <w:color w:val="FF0000"/>
      <w:kern w:val="0"/>
      <w:sz w:val="18"/>
      <w:szCs w:val="18"/>
    </w:rPr>
  </w:style>
  <w:style w:type="paragraph" w:customStyle="1" w:styleId="95">
    <w:name w:val="节标题"/>
    <w:basedOn w:val="1"/>
    <w:next w:val="1"/>
    <w:autoRedefine/>
    <w:qFormat/>
    <w:uiPriority w:val="0"/>
    <w:pPr>
      <w:widowControl/>
      <w:spacing w:line="289" w:lineRule="atLeast"/>
      <w:ind w:firstLine="504"/>
      <w:jc w:val="center"/>
      <w:textAlignment w:val="baseline"/>
    </w:pPr>
    <w:rPr>
      <w:color w:val="000000"/>
      <w:kern w:val="0"/>
      <w:sz w:val="28"/>
      <w:szCs w:val="20"/>
      <w:u w:color="000000"/>
    </w:rPr>
  </w:style>
  <w:style w:type="paragraph" w:customStyle="1" w:styleId="96">
    <w:name w:val="xl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97">
    <w:name w:val="TOC 91"/>
    <w:basedOn w:val="1"/>
    <w:next w:val="1"/>
    <w:autoRedefine/>
    <w:unhideWhenUsed/>
    <w:qFormat/>
    <w:uiPriority w:val="39"/>
    <w:pPr>
      <w:ind w:left="3360" w:leftChars="1600" w:firstLine="504"/>
    </w:pPr>
    <w:rPr>
      <w:rFonts w:ascii="Calibri" w:hAnsi="Calibri"/>
      <w:szCs w:val="22"/>
    </w:rPr>
  </w:style>
  <w:style w:type="paragraph" w:customStyle="1" w:styleId="98">
    <w:name w:val="xl82"/>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16"/>
      <w:szCs w:val="16"/>
    </w:rPr>
  </w:style>
  <w:style w:type="paragraph" w:customStyle="1" w:styleId="99">
    <w:name w:val="列出段落2"/>
    <w:basedOn w:val="1"/>
    <w:autoRedefine/>
    <w:qFormat/>
    <w:uiPriority w:val="34"/>
    <w:pPr>
      <w:ind w:firstLine="420"/>
    </w:pPr>
  </w:style>
  <w:style w:type="paragraph" w:customStyle="1" w:styleId="100">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6"/>
      <w:szCs w:val="16"/>
    </w:rPr>
  </w:style>
  <w:style w:type="paragraph" w:customStyle="1" w:styleId="101">
    <w:name w:val="TOC 81"/>
    <w:basedOn w:val="1"/>
    <w:next w:val="1"/>
    <w:autoRedefine/>
    <w:unhideWhenUsed/>
    <w:qFormat/>
    <w:uiPriority w:val="39"/>
    <w:pPr>
      <w:ind w:left="2940" w:leftChars="1400" w:firstLine="504"/>
    </w:pPr>
    <w:rPr>
      <w:rFonts w:ascii="Calibri" w:hAnsi="Calibri"/>
      <w:szCs w:val="22"/>
    </w:rPr>
  </w:style>
  <w:style w:type="table" w:customStyle="1" w:styleId="102">
    <w:name w:val="网格型6"/>
    <w:basedOn w:val="32"/>
    <w:autoRedefine/>
    <w:qFormat/>
    <w:uiPriority w:val="59"/>
    <w:rPr>
      <w:rFonts w:ascii="Calibri" w:hAnsi="Calibri" w:eastAsia="微软雅黑"/>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3">
    <w:name w:val="日期 字符"/>
    <w:basedOn w:val="34"/>
    <w:link w:val="20"/>
    <w:autoRedefine/>
    <w:qFormat/>
    <w:uiPriority w:val="0"/>
    <w:rPr>
      <w:kern w:val="2"/>
      <w:sz w:val="21"/>
      <w:szCs w:val="24"/>
    </w:rPr>
  </w:style>
  <w:style w:type="character" w:customStyle="1" w:styleId="104">
    <w:name w:val="未处理的提及4"/>
    <w:basedOn w:val="34"/>
    <w:autoRedefine/>
    <w:unhideWhenUsed/>
    <w:qFormat/>
    <w:uiPriority w:val="99"/>
    <w:rPr>
      <w:color w:val="605E5C"/>
      <w:shd w:val="clear" w:color="auto" w:fill="E1DFDD"/>
    </w:rPr>
  </w:style>
  <w:style w:type="character" w:customStyle="1" w:styleId="105">
    <w:name w:val="未处理的提及5"/>
    <w:basedOn w:val="34"/>
    <w:autoRedefine/>
    <w:unhideWhenUsed/>
    <w:qFormat/>
    <w:uiPriority w:val="99"/>
    <w:rPr>
      <w:color w:val="605E5C"/>
      <w:shd w:val="clear" w:color="auto" w:fill="E1DFDD"/>
    </w:rPr>
  </w:style>
  <w:style w:type="character" w:customStyle="1" w:styleId="106">
    <w:name w:val="font71"/>
    <w:autoRedefine/>
    <w:qFormat/>
    <w:uiPriority w:val="0"/>
    <w:rPr>
      <w:rFonts w:hint="eastAsia" w:ascii="宋体" w:hAnsi="宋体" w:eastAsia="宋体" w:cs="宋体"/>
      <w:color w:val="000000"/>
      <w:sz w:val="12"/>
      <w:szCs w:val="12"/>
      <w:u w:val="none"/>
    </w:rPr>
  </w:style>
  <w:style w:type="character" w:customStyle="1" w:styleId="107">
    <w:name w:val="font61"/>
    <w:autoRedefine/>
    <w:qFormat/>
    <w:uiPriority w:val="0"/>
    <w:rPr>
      <w:rFonts w:hint="eastAsia" w:ascii="宋体" w:hAnsi="宋体" w:eastAsia="宋体" w:cs="宋体"/>
      <w:color w:val="000000"/>
      <w:sz w:val="12"/>
      <w:szCs w:val="12"/>
      <w:u w:val="none"/>
    </w:rPr>
  </w:style>
  <w:style w:type="paragraph" w:customStyle="1" w:styleId="108">
    <w:name w:val="msonormal"/>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109">
    <w:name w:val="font5"/>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10">
    <w:name w:val="xl85"/>
    <w:basedOn w:val="1"/>
    <w:autoRedefine/>
    <w:qFormat/>
    <w:uiPriority w:val="0"/>
    <w:pPr>
      <w:widowControl/>
      <w:pBdr>
        <w:right w:val="single" w:color="000000" w:sz="8" w:space="0"/>
      </w:pBdr>
      <w:spacing w:before="100" w:beforeAutospacing="1" w:after="100" w:afterAutospacing="1"/>
      <w:jc w:val="left"/>
      <w:textAlignment w:val="top"/>
    </w:pPr>
    <w:rPr>
      <w:rFonts w:ascii="宋体" w:hAnsi="宋体" w:cs="宋体"/>
      <w:kern w:val="0"/>
      <w:sz w:val="14"/>
      <w:szCs w:val="14"/>
    </w:rPr>
  </w:style>
  <w:style w:type="paragraph" w:customStyle="1" w:styleId="111">
    <w:name w:val="xl86"/>
    <w:basedOn w:val="1"/>
    <w:autoRedefine/>
    <w:qFormat/>
    <w:uiPriority w:val="0"/>
    <w:pPr>
      <w:widowControl/>
      <w:pBdr>
        <w:right w:val="single" w:color="000000" w:sz="8" w:space="0"/>
      </w:pBdr>
      <w:spacing w:before="100" w:beforeAutospacing="1" w:after="100" w:afterAutospacing="1"/>
      <w:jc w:val="left"/>
      <w:textAlignment w:val="top"/>
    </w:pPr>
    <w:rPr>
      <w:rFonts w:ascii="宋体" w:hAnsi="宋体" w:cs="宋体"/>
      <w:kern w:val="0"/>
    </w:rPr>
  </w:style>
  <w:style w:type="paragraph" w:customStyle="1" w:styleId="112">
    <w:name w:val="xl87"/>
    <w:basedOn w:val="1"/>
    <w:autoRedefine/>
    <w:qFormat/>
    <w:uiPriority w:val="0"/>
    <w:pPr>
      <w:widowControl/>
      <w:pBdr>
        <w:left w:val="single" w:color="000000" w:sz="8" w:space="0"/>
        <w:bottom w:val="single" w:color="000000" w:sz="8" w:space="0"/>
        <w:right w:val="single" w:color="000000" w:sz="8" w:space="0"/>
      </w:pBdr>
      <w:spacing w:before="100" w:beforeAutospacing="1" w:after="100" w:afterAutospacing="1"/>
      <w:jc w:val="left"/>
    </w:pPr>
    <w:rPr>
      <w:rFonts w:ascii="宋体" w:hAnsi="宋体" w:cs="宋体"/>
      <w:kern w:val="0"/>
    </w:rPr>
  </w:style>
  <w:style w:type="paragraph" w:customStyle="1" w:styleId="113">
    <w:name w:val="xl88"/>
    <w:basedOn w:val="1"/>
    <w:autoRedefine/>
    <w:qFormat/>
    <w:uiPriority w:val="0"/>
    <w:pPr>
      <w:widowControl/>
      <w:pBdr>
        <w:bottom w:val="single" w:color="000000" w:sz="8" w:space="0"/>
        <w:right w:val="single" w:color="000000" w:sz="8" w:space="0"/>
      </w:pBdr>
      <w:spacing w:before="100" w:beforeAutospacing="1" w:after="100" w:afterAutospacing="1"/>
      <w:jc w:val="left"/>
    </w:pPr>
    <w:rPr>
      <w:rFonts w:ascii="宋体" w:hAnsi="宋体" w:cs="宋体"/>
      <w:kern w:val="0"/>
    </w:rPr>
  </w:style>
  <w:style w:type="paragraph" w:customStyle="1" w:styleId="114">
    <w:name w:val="xl89"/>
    <w:basedOn w:val="1"/>
    <w:autoRedefine/>
    <w:qFormat/>
    <w:uiPriority w:val="0"/>
    <w:pPr>
      <w:widowControl/>
      <w:pBdr>
        <w:bottom w:val="single" w:color="000000" w:sz="8" w:space="0"/>
        <w:right w:val="single" w:color="000000" w:sz="8" w:space="0"/>
      </w:pBdr>
      <w:spacing w:before="100" w:beforeAutospacing="1" w:after="100" w:afterAutospacing="1"/>
      <w:jc w:val="left"/>
      <w:textAlignment w:val="top"/>
    </w:pPr>
    <w:rPr>
      <w:rFonts w:ascii="宋体" w:hAnsi="宋体" w:cs="宋体"/>
      <w:kern w:val="0"/>
      <w:sz w:val="20"/>
      <w:szCs w:val="20"/>
    </w:rPr>
  </w:style>
  <w:style w:type="paragraph" w:customStyle="1" w:styleId="115">
    <w:name w:val="xl90"/>
    <w:basedOn w:val="1"/>
    <w:autoRedefine/>
    <w:qFormat/>
    <w:uiPriority w:val="0"/>
    <w:pPr>
      <w:widowControl/>
      <w:pBdr>
        <w:left w:val="single" w:color="000000" w:sz="8" w:space="0"/>
        <w:bottom w:val="single" w:color="000000" w:sz="8" w:space="0"/>
        <w:right w:val="single" w:color="000000" w:sz="8" w:space="0"/>
      </w:pBdr>
      <w:spacing w:before="100" w:beforeAutospacing="1" w:after="100" w:afterAutospacing="1"/>
      <w:jc w:val="center"/>
      <w:textAlignment w:val="top"/>
    </w:pPr>
    <w:rPr>
      <w:rFonts w:ascii="宋体" w:hAnsi="宋体" w:cs="宋体"/>
      <w:kern w:val="0"/>
      <w:sz w:val="20"/>
      <w:szCs w:val="20"/>
    </w:rPr>
  </w:style>
  <w:style w:type="paragraph" w:customStyle="1" w:styleId="116">
    <w:name w:val="xl91"/>
    <w:basedOn w:val="1"/>
    <w:autoRedefine/>
    <w:qFormat/>
    <w:uiPriority w:val="0"/>
    <w:pPr>
      <w:widowControl/>
      <w:pBdr>
        <w:bottom w:val="single" w:color="000000" w:sz="8" w:space="0"/>
        <w:right w:val="single" w:color="000000" w:sz="8" w:space="0"/>
      </w:pBdr>
      <w:spacing w:before="100" w:beforeAutospacing="1" w:after="100" w:afterAutospacing="1"/>
      <w:jc w:val="right"/>
      <w:textAlignment w:val="top"/>
    </w:pPr>
    <w:rPr>
      <w:rFonts w:ascii="宋体" w:hAnsi="宋体" w:cs="宋体"/>
      <w:kern w:val="0"/>
      <w:sz w:val="20"/>
      <w:szCs w:val="20"/>
    </w:rPr>
  </w:style>
  <w:style w:type="paragraph" w:customStyle="1" w:styleId="117">
    <w:name w:val="xl92"/>
    <w:basedOn w:val="1"/>
    <w:autoRedefine/>
    <w:qFormat/>
    <w:uiPriority w:val="0"/>
    <w:pPr>
      <w:widowControl/>
      <w:pBdr>
        <w:bottom w:val="single" w:color="000000" w:sz="8" w:space="0"/>
        <w:right w:val="single" w:color="000000" w:sz="8" w:space="0"/>
      </w:pBdr>
      <w:spacing w:before="100" w:beforeAutospacing="1" w:after="100" w:afterAutospacing="1"/>
      <w:jc w:val="left"/>
      <w:textAlignment w:val="top"/>
    </w:pPr>
    <w:rPr>
      <w:kern w:val="0"/>
      <w:sz w:val="20"/>
      <w:szCs w:val="20"/>
    </w:rPr>
  </w:style>
  <w:style w:type="paragraph" w:customStyle="1" w:styleId="118">
    <w:name w:val="xl93"/>
    <w:basedOn w:val="1"/>
    <w:autoRedefine/>
    <w:qFormat/>
    <w:uiPriority w:val="0"/>
    <w:pPr>
      <w:widowControl/>
      <w:pBdr>
        <w:top w:val="single" w:color="000000" w:sz="8" w:space="0"/>
        <w:left w:val="single" w:color="000000" w:sz="8" w:space="0"/>
        <w:bottom w:val="single" w:color="000000" w:sz="8" w:space="0"/>
        <w:right w:val="single" w:color="000000" w:sz="8" w:space="0"/>
      </w:pBdr>
      <w:spacing w:before="100" w:beforeAutospacing="1" w:after="100" w:afterAutospacing="1"/>
      <w:jc w:val="center"/>
      <w:textAlignment w:val="top"/>
    </w:pPr>
    <w:rPr>
      <w:rFonts w:ascii="宋体" w:hAnsi="宋体" w:cs="宋体"/>
      <w:kern w:val="0"/>
      <w:sz w:val="20"/>
      <w:szCs w:val="20"/>
    </w:rPr>
  </w:style>
  <w:style w:type="paragraph" w:customStyle="1" w:styleId="119">
    <w:name w:val="xl94"/>
    <w:basedOn w:val="1"/>
    <w:autoRedefine/>
    <w:qFormat/>
    <w:uiPriority w:val="0"/>
    <w:pPr>
      <w:widowControl/>
      <w:pBdr>
        <w:top w:val="single" w:color="000000" w:sz="8" w:space="0"/>
        <w:bottom w:val="single" w:color="000000" w:sz="8" w:space="0"/>
        <w:right w:val="single" w:color="000000" w:sz="8" w:space="0"/>
      </w:pBdr>
      <w:spacing w:before="100" w:beforeAutospacing="1" w:after="100" w:afterAutospacing="1"/>
      <w:jc w:val="center"/>
      <w:textAlignment w:val="top"/>
    </w:pPr>
    <w:rPr>
      <w:rFonts w:ascii="宋体" w:hAnsi="宋体" w:cs="宋体"/>
      <w:kern w:val="0"/>
      <w:sz w:val="20"/>
      <w:szCs w:val="20"/>
    </w:rPr>
  </w:style>
  <w:style w:type="paragraph" w:customStyle="1" w:styleId="120">
    <w:name w:val="xl95"/>
    <w:basedOn w:val="1"/>
    <w:autoRedefine/>
    <w:qFormat/>
    <w:uiPriority w:val="0"/>
    <w:pPr>
      <w:widowControl/>
      <w:pBdr>
        <w:top w:val="single" w:color="000000" w:sz="8" w:space="0"/>
        <w:bottom w:val="single" w:color="000000" w:sz="8" w:space="0"/>
        <w:right w:val="single" w:color="000000" w:sz="8" w:space="0"/>
      </w:pBdr>
      <w:spacing w:before="100" w:beforeAutospacing="1" w:after="100" w:afterAutospacing="1"/>
      <w:jc w:val="right"/>
      <w:textAlignment w:val="top"/>
    </w:pPr>
    <w:rPr>
      <w:rFonts w:ascii="宋体" w:hAnsi="宋体" w:cs="宋体"/>
      <w:kern w:val="0"/>
      <w:sz w:val="20"/>
      <w:szCs w:val="20"/>
    </w:rPr>
  </w:style>
  <w:style w:type="paragraph" w:customStyle="1" w:styleId="121">
    <w:name w:val="xl96"/>
    <w:basedOn w:val="1"/>
    <w:autoRedefine/>
    <w:qFormat/>
    <w:uiPriority w:val="0"/>
    <w:pPr>
      <w:widowControl/>
      <w:pBdr>
        <w:top w:val="single" w:color="000000" w:sz="8" w:space="0"/>
        <w:bottom w:val="single" w:color="000000" w:sz="8" w:space="0"/>
        <w:right w:val="single" w:color="000000" w:sz="8" w:space="0"/>
      </w:pBdr>
      <w:spacing w:before="100" w:beforeAutospacing="1" w:after="100" w:afterAutospacing="1"/>
      <w:jc w:val="left"/>
      <w:textAlignment w:val="top"/>
    </w:pPr>
    <w:rPr>
      <w:kern w:val="0"/>
      <w:sz w:val="18"/>
      <w:szCs w:val="18"/>
    </w:rPr>
  </w:style>
  <w:style w:type="paragraph" w:customStyle="1" w:styleId="122">
    <w:name w:val="xl97"/>
    <w:basedOn w:val="1"/>
    <w:autoRedefine/>
    <w:qFormat/>
    <w:uiPriority w:val="0"/>
    <w:pPr>
      <w:widowControl/>
      <w:pBdr>
        <w:bottom w:val="single" w:color="000000" w:sz="8" w:space="0"/>
        <w:right w:val="single" w:color="000000" w:sz="8" w:space="0"/>
      </w:pBdr>
      <w:spacing w:before="100" w:beforeAutospacing="1" w:after="100" w:afterAutospacing="1"/>
      <w:jc w:val="left"/>
      <w:textAlignment w:val="top"/>
    </w:pPr>
    <w:rPr>
      <w:kern w:val="0"/>
      <w:sz w:val="18"/>
      <w:szCs w:val="18"/>
    </w:rPr>
  </w:style>
  <w:style w:type="paragraph" w:customStyle="1" w:styleId="123">
    <w:name w:val="xl98"/>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rFonts w:ascii="宋体" w:hAnsi="宋体" w:cs="宋体"/>
      <w:kern w:val="0"/>
      <w:sz w:val="19"/>
      <w:szCs w:val="19"/>
    </w:rPr>
  </w:style>
  <w:style w:type="paragraph" w:customStyle="1" w:styleId="124">
    <w:name w:val="xl99"/>
    <w:basedOn w:val="1"/>
    <w:autoRedefine/>
    <w:qFormat/>
    <w:uiPriority w:val="0"/>
    <w:pPr>
      <w:widowControl/>
      <w:pBdr>
        <w:right w:val="single" w:color="000000" w:sz="8" w:space="0"/>
      </w:pBdr>
      <w:spacing w:before="100" w:beforeAutospacing="1" w:after="100" w:afterAutospacing="1"/>
      <w:jc w:val="left"/>
      <w:textAlignment w:val="top"/>
    </w:pPr>
    <w:rPr>
      <w:rFonts w:ascii="宋体" w:hAnsi="宋体" w:cs="宋体"/>
      <w:kern w:val="0"/>
      <w:sz w:val="19"/>
      <w:szCs w:val="19"/>
    </w:rPr>
  </w:style>
  <w:style w:type="paragraph" w:customStyle="1" w:styleId="125">
    <w:name w:val="xl100"/>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rFonts w:ascii="宋体" w:hAnsi="宋体" w:cs="宋体"/>
      <w:kern w:val="0"/>
      <w:sz w:val="16"/>
      <w:szCs w:val="16"/>
    </w:rPr>
  </w:style>
  <w:style w:type="paragraph" w:customStyle="1" w:styleId="126">
    <w:name w:val="xl101"/>
    <w:basedOn w:val="1"/>
    <w:autoRedefine/>
    <w:qFormat/>
    <w:uiPriority w:val="0"/>
    <w:pPr>
      <w:widowControl/>
      <w:pBdr>
        <w:right w:val="single" w:color="000000" w:sz="8" w:space="0"/>
      </w:pBdr>
      <w:spacing w:before="100" w:beforeAutospacing="1" w:after="100" w:afterAutospacing="1"/>
      <w:jc w:val="left"/>
      <w:textAlignment w:val="top"/>
    </w:pPr>
    <w:rPr>
      <w:rFonts w:ascii="宋体" w:hAnsi="宋体" w:cs="宋体"/>
      <w:kern w:val="0"/>
      <w:sz w:val="16"/>
      <w:szCs w:val="16"/>
    </w:rPr>
  </w:style>
  <w:style w:type="paragraph" w:customStyle="1" w:styleId="127">
    <w:name w:val="xl102"/>
    <w:basedOn w:val="1"/>
    <w:autoRedefine/>
    <w:qFormat/>
    <w:uiPriority w:val="0"/>
    <w:pPr>
      <w:widowControl/>
      <w:pBdr>
        <w:top w:val="single" w:color="000000" w:sz="8" w:space="0"/>
        <w:left w:val="single" w:color="000000" w:sz="8" w:space="0"/>
        <w:right w:val="single" w:color="000000" w:sz="8" w:space="0"/>
      </w:pBdr>
      <w:spacing w:before="100" w:beforeAutospacing="1" w:after="100" w:afterAutospacing="1"/>
      <w:jc w:val="left"/>
      <w:textAlignment w:val="top"/>
    </w:pPr>
    <w:rPr>
      <w:kern w:val="0"/>
      <w:sz w:val="20"/>
      <w:szCs w:val="20"/>
    </w:rPr>
  </w:style>
  <w:style w:type="paragraph" w:customStyle="1" w:styleId="128">
    <w:name w:val="xl103"/>
    <w:basedOn w:val="1"/>
    <w:autoRedefine/>
    <w:qFormat/>
    <w:uiPriority w:val="0"/>
    <w:pPr>
      <w:widowControl/>
      <w:pBdr>
        <w:top w:val="single" w:color="000000" w:sz="8" w:space="0"/>
        <w:right w:val="single" w:color="000000" w:sz="8" w:space="0"/>
      </w:pBdr>
      <w:spacing w:before="100" w:beforeAutospacing="1" w:after="100" w:afterAutospacing="1"/>
      <w:jc w:val="left"/>
      <w:textAlignment w:val="top"/>
    </w:pPr>
    <w:rPr>
      <w:kern w:val="0"/>
      <w:sz w:val="20"/>
      <w:szCs w:val="20"/>
    </w:rPr>
  </w:style>
  <w:style w:type="paragraph" w:customStyle="1" w:styleId="129">
    <w:name w:val="xl104"/>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kern w:val="0"/>
      <w:sz w:val="19"/>
      <w:szCs w:val="19"/>
    </w:rPr>
  </w:style>
  <w:style w:type="paragraph" w:customStyle="1" w:styleId="130">
    <w:name w:val="xl105"/>
    <w:basedOn w:val="1"/>
    <w:autoRedefine/>
    <w:qFormat/>
    <w:uiPriority w:val="0"/>
    <w:pPr>
      <w:widowControl/>
      <w:pBdr>
        <w:right w:val="single" w:color="000000" w:sz="8" w:space="0"/>
      </w:pBdr>
      <w:spacing w:before="100" w:beforeAutospacing="1" w:after="100" w:afterAutospacing="1"/>
      <w:jc w:val="left"/>
      <w:textAlignment w:val="top"/>
    </w:pPr>
    <w:rPr>
      <w:kern w:val="0"/>
      <w:sz w:val="20"/>
      <w:szCs w:val="20"/>
    </w:rPr>
  </w:style>
  <w:style w:type="paragraph" w:customStyle="1" w:styleId="131">
    <w:name w:val="xl106"/>
    <w:basedOn w:val="1"/>
    <w:autoRedefine/>
    <w:qFormat/>
    <w:uiPriority w:val="0"/>
    <w:pPr>
      <w:widowControl/>
      <w:pBdr>
        <w:left w:val="single" w:color="000000" w:sz="8" w:space="0"/>
        <w:right w:val="single" w:color="000000" w:sz="8" w:space="0"/>
      </w:pBdr>
      <w:spacing w:before="100" w:beforeAutospacing="1" w:after="100" w:afterAutospacing="1"/>
      <w:jc w:val="center"/>
      <w:textAlignment w:val="top"/>
    </w:pPr>
    <w:rPr>
      <w:rFonts w:ascii="宋体" w:hAnsi="宋体" w:cs="宋体"/>
      <w:kern w:val="0"/>
      <w:sz w:val="20"/>
      <w:szCs w:val="20"/>
    </w:rPr>
  </w:style>
  <w:style w:type="paragraph" w:customStyle="1" w:styleId="132">
    <w:name w:val="xl107"/>
    <w:basedOn w:val="1"/>
    <w:autoRedefine/>
    <w:qFormat/>
    <w:uiPriority w:val="0"/>
    <w:pPr>
      <w:widowControl/>
      <w:pBdr>
        <w:right w:val="single" w:color="000000" w:sz="8" w:space="0"/>
      </w:pBdr>
      <w:spacing w:before="100" w:beforeAutospacing="1" w:after="100" w:afterAutospacing="1"/>
      <w:jc w:val="left"/>
      <w:textAlignment w:val="top"/>
    </w:pPr>
    <w:rPr>
      <w:kern w:val="0"/>
      <w:sz w:val="19"/>
      <w:szCs w:val="19"/>
    </w:rPr>
  </w:style>
  <w:style w:type="paragraph" w:customStyle="1" w:styleId="133">
    <w:name w:val="xl108"/>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kern w:val="0"/>
      <w:sz w:val="20"/>
      <w:szCs w:val="20"/>
    </w:rPr>
  </w:style>
  <w:style w:type="paragraph" w:customStyle="1" w:styleId="134">
    <w:name w:val="xl109"/>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kern w:val="0"/>
      <w:sz w:val="18"/>
      <w:szCs w:val="18"/>
    </w:rPr>
  </w:style>
  <w:style w:type="paragraph" w:customStyle="1" w:styleId="135">
    <w:name w:val="xl110"/>
    <w:basedOn w:val="1"/>
    <w:autoRedefine/>
    <w:qFormat/>
    <w:uiPriority w:val="0"/>
    <w:pPr>
      <w:widowControl/>
      <w:pBdr>
        <w:right w:val="single" w:color="000000" w:sz="8" w:space="0"/>
      </w:pBdr>
      <w:spacing w:before="100" w:beforeAutospacing="1" w:after="100" w:afterAutospacing="1"/>
      <w:jc w:val="left"/>
      <w:textAlignment w:val="top"/>
    </w:pPr>
    <w:rPr>
      <w:kern w:val="0"/>
      <w:sz w:val="18"/>
      <w:szCs w:val="18"/>
    </w:rPr>
  </w:style>
  <w:style w:type="paragraph" w:customStyle="1" w:styleId="136">
    <w:name w:val="xl111"/>
    <w:basedOn w:val="1"/>
    <w:autoRedefine/>
    <w:qFormat/>
    <w:uiPriority w:val="0"/>
    <w:pPr>
      <w:widowControl/>
      <w:pBdr>
        <w:left w:val="single" w:color="000000" w:sz="8" w:space="0"/>
        <w:right w:val="single" w:color="000000" w:sz="8" w:space="0"/>
      </w:pBdr>
      <w:spacing w:before="100" w:beforeAutospacing="1" w:after="100" w:afterAutospacing="1"/>
      <w:jc w:val="left"/>
      <w:textAlignment w:val="top"/>
    </w:pPr>
    <w:rPr>
      <w:kern w:val="0"/>
    </w:rPr>
  </w:style>
  <w:style w:type="paragraph" w:customStyle="1" w:styleId="137">
    <w:name w:val="xl112"/>
    <w:basedOn w:val="1"/>
    <w:autoRedefine/>
    <w:qFormat/>
    <w:uiPriority w:val="0"/>
    <w:pPr>
      <w:widowControl/>
      <w:pBdr>
        <w:right w:val="single" w:color="000000" w:sz="8" w:space="0"/>
      </w:pBdr>
      <w:spacing w:before="100" w:beforeAutospacing="1" w:after="100" w:afterAutospacing="1"/>
      <w:jc w:val="left"/>
      <w:textAlignment w:val="top"/>
    </w:pPr>
    <w:rPr>
      <w:kern w:val="0"/>
    </w:rPr>
  </w:style>
  <w:style w:type="paragraph" w:customStyle="1" w:styleId="138">
    <w:name w:val="xl113"/>
    <w:basedOn w:val="1"/>
    <w:autoRedefine/>
    <w:qFormat/>
    <w:uiPriority w:val="0"/>
    <w:pPr>
      <w:widowControl/>
      <w:pBdr>
        <w:right w:val="single" w:color="000000" w:sz="8" w:space="0"/>
      </w:pBdr>
      <w:spacing w:before="100" w:beforeAutospacing="1" w:after="100" w:afterAutospacing="1"/>
      <w:jc w:val="center"/>
      <w:textAlignment w:val="top"/>
    </w:pPr>
    <w:rPr>
      <w:rFonts w:ascii="宋体" w:hAnsi="宋体" w:cs="宋体"/>
      <w:kern w:val="0"/>
      <w:sz w:val="20"/>
      <w:szCs w:val="20"/>
    </w:rPr>
  </w:style>
  <w:style w:type="paragraph" w:customStyle="1" w:styleId="139">
    <w:name w:val="xl114"/>
    <w:basedOn w:val="1"/>
    <w:autoRedefine/>
    <w:qFormat/>
    <w:uiPriority w:val="0"/>
    <w:pPr>
      <w:widowControl/>
      <w:pBdr>
        <w:right w:val="single" w:color="000000" w:sz="8" w:space="0"/>
      </w:pBdr>
      <w:spacing w:before="100" w:beforeAutospacing="1" w:after="100" w:afterAutospacing="1"/>
      <w:jc w:val="left"/>
    </w:pPr>
    <w:rPr>
      <w:rFonts w:ascii="宋体" w:hAnsi="宋体" w:cs="宋体"/>
      <w:kern w:val="0"/>
    </w:rPr>
  </w:style>
  <w:style w:type="paragraph" w:customStyle="1" w:styleId="140">
    <w:name w:val="图表标题"/>
    <w:basedOn w:val="1"/>
    <w:autoRedefine/>
    <w:qFormat/>
    <w:uiPriority w:val="0"/>
    <w:pPr>
      <w:spacing w:before="60" w:after="60"/>
      <w:ind w:firstLine="0" w:firstLineChars="0"/>
      <w:jc w:val="center"/>
    </w:pPr>
    <w:rPr>
      <w:rFonts w:hint="eastAsia" w:cs="仿宋"/>
      <w:b/>
    </w:rPr>
  </w:style>
  <w:style w:type="paragraph" w:customStyle="1" w:styleId="141">
    <w:name w:val="修订2"/>
    <w:autoRedefine/>
    <w:hidden/>
    <w:semiHidden/>
    <w:qFormat/>
    <w:uiPriority w:val="99"/>
    <w:rPr>
      <w:rFonts w:ascii="仿宋" w:hAnsi="仿宋" w:eastAsia="仿宋" w:cs="Times New Roman"/>
      <w:kern w:val="2"/>
      <w:sz w:val="24"/>
      <w:szCs w:val="24"/>
      <w:lang w:val="en-US" w:eastAsia="zh-CN" w:bidi="ar-SA"/>
    </w:rPr>
  </w:style>
  <w:style w:type="character" w:customStyle="1" w:styleId="142">
    <w:name w:val="Unresolved Mention"/>
    <w:basedOn w:val="34"/>
    <w:autoRedefine/>
    <w:unhideWhenUsed/>
    <w:qFormat/>
    <w:uiPriority w:val="99"/>
    <w:rPr>
      <w:color w:val="605E5C"/>
      <w:shd w:val="clear" w:color="auto" w:fill="E1DFDD"/>
    </w:rPr>
  </w:style>
  <w:style w:type="paragraph" w:customStyle="1" w:styleId="143">
    <w:name w:val="Body text|1"/>
    <w:basedOn w:val="1"/>
    <w:autoRedefine/>
    <w:qFormat/>
    <w:uiPriority w:val="0"/>
    <w:pPr>
      <w:spacing w:line="389" w:lineRule="auto"/>
      <w:ind w:firstLine="400"/>
    </w:pPr>
    <w:rPr>
      <w:rFonts w:ascii="宋体" w:hAnsi="宋体" w:eastAsia="宋体" w:cs="宋体"/>
      <w:sz w:val="30"/>
      <w:szCs w:val="30"/>
      <w:lang w:val="zh-TW" w:eastAsia="zh-TW" w:bidi="zh-TW"/>
    </w:rPr>
  </w:style>
  <w:style w:type="character" w:customStyle="1" w:styleId="144">
    <w:name w:val="font121"/>
    <w:basedOn w:val="34"/>
    <w:autoRedefine/>
    <w:qFormat/>
    <w:uiPriority w:val="0"/>
    <w:rPr>
      <w:rFonts w:hint="eastAsia" w:ascii="宋体" w:hAnsi="宋体" w:eastAsia="宋体" w:cs="宋体"/>
      <w:color w:val="000000"/>
      <w:sz w:val="18"/>
      <w:szCs w:val="18"/>
      <w:u w:val="none"/>
    </w:rPr>
  </w:style>
  <w:style w:type="character" w:customStyle="1" w:styleId="145">
    <w:name w:val="font151"/>
    <w:basedOn w:val="34"/>
    <w:autoRedefine/>
    <w:qFormat/>
    <w:uiPriority w:val="0"/>
    <w:rPr>
      <w:rFonts w:hint="eastAsia" w:ascii="宋体" w:hAnsi="宋体" w:eastAsia="宋体" w:cs="宋体"/>
      <w:color w:val="000000"/>
      <w:sz w:val="20"/>
      <w:szCs w:val="20"/>
      <w:u w:val="none"/>
    </w:rPr>
  </w:style>
  <w:style w:type="character" w:customStyle="1" w:styleId="146">
    <w:name w:val="font131"/>
    <w:basedOn w:val="34"/>
    <w:autoRedefine/>
    <w:qFormat/>
    <w:uiPriority w:val="0"/>
    <w:rPr>
      <w:rFonts w:ascii="仿宋" w:hAnsi="仿宋" w:eastAsia="仿宋" w:cs="仿宋"/>
      <w:color w:val="000000"/>
      <w:sz w:val="20"/>
      <w:szCs w:val="20"/>
      <w:u w:val="none"/>
    </w:rPr>
  </w:style>
  <w:style w:type="character" w:customStyle="1" w:styleId="147">
    <w:name w:val="font161"/>
    <w:basedOn w:val="34"/>
    <w:autoRedefine/>
    <w:qFormat/>
    <w:uiPriority w:val="0"/>
    <w:rPr>
      <w:rFonts w:hint="default" w:ascii="Times New Roman" w:hAnsi="Times New Roman" w:cs="Times New Roman"/>
      <w:color w:val="000000"/>
      <w:sz w:val="20"/>
      <w:szCs w:val="20"/>
      <w:u w:val="none"/>
    </w:rPr>
  </w:style>
  <w:style w:type="paragraph" w:customStyle="1" w:styleId="148">
    <w:name w:val="TOC Heading"/>
    <w:basedOn w:val="5"/>
    <w:next w:val="1"/>
    <w:autoRedefine/>
    <w:unhideWhenUsed/>
    <w:qFormat/>
    <w:uiPriority w:val="39"/>
    <w:pPr>
      <w:keepNext/>
      <w:keepLines/>
      <w:pageBreakBefore w:val="0"/>
      <w:widowControl/>
      <w:tabs>
        <w:tab w:val="clear" w:pos="0"/>
      </w:tabs>
      <w:spacing w:after="0" w:line="259" w:lineRule="auto"/>
      <w:jc w:val="left"/>
      <w:outlineLvl w:val="9"/>
    </w:pPr>
    <w:rPr>
      <w:rFonts w:asciiTheme="majorHAnsi" w:hAnsiTheme="majorHAnsi" w:eastAsiaTheme="majorEastAsia" w:cstheme="majorBidi"/>
      <w:b w:val="0"/>
      <w:color w:val="376092"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4" Type="http://schemas.openxmlformats.org/officeDocument/2006/relationships/fontTable" Target="fontTable.xml"/><Relationship Id="rId53" Type="http://schemas.openxmlformats.org/officeDocument/2006/relationships/customXml" Target="../customXml/item2.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jpe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BE6A251-5B1E-4C75-84D7-B9B4872D2F51}">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87</Pages>
  <Words>30610</Words>
  <Characters>45192</Characters>
  <Lines>410</Lines>
  <Paragraphs>115</Paragraphs>
  <TotalTime>18</TotalTime>
  <ScaleCrop>false</ScaleCrop>
  <LinksUpToDate>false</LinksUpToDate>
  <CharactersWithSpaces>45597</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2021-06-05T05:50:00Z</dcterms:created>
  <dc:creator>鹿凉</dc:creator>
  <cp:lastModifiedBy>Z</cp:lastModifiedBy>
  <cp:lastPrinted>2021-01-10T02:00:00Z</cp:lastPrinted>
  <dcterms:modified xsi:type="dcterms:W3CDTF">2024-03-21T07:54:30Z</dcterms:modified>
  <cp:revision>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8BDA392212F4475DAF731BF4C9CE7F76_13</vt:lpwstr>
  </property>
</Properties>
</file>